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comercial</w:t>
      </w:r>
    </w:p>
    <w:p>
      <w:pPr>
        <w:pStyle w:val="Subtitle"/>
      </w:pPr>
      <w:r>
        <w:t>[Nombre del proyecto o servicio]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Objetivo y alcance</w:t>
      </w:r>
    </w:p>
    <w:p>
      <w:r>
        <w:t>[Resultado esperado, prestaciones incluidas y criterio de entrega.]</w:t>
      </w:r>
    </w:p>
    <w:p>
      <w:pPr>
        <w:pStyle w:val="Heading1"/>
      </w:pPr>
      <w:r>
        <w:t>Inversión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6803"/>
        <w:gridCol w:w="2551"/>
      </w:tblGrid>
      <w:tr>
        <w:trPr>
          <w:cantSplit/>
          <w:tblHeader/>
        </w:trPr>
        <w:tc>
          <w:tcPr>
            <w:tcW w:type="dxa" w:w="6803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51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[Moneda e importe]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Total con impuestos</w:t>
            </w:r>
          </w:p>
        </w:tc>
        <w:tc>
          <w:tcPr>
            <w:tcW w:type="dxa" w:w="2551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[Moneda e 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Condiciones comerciales</w:t>
      </w:r>
    </w:p>
    <w:p>
      <w:r>
        <w:t>[Moneda, impuestos, validez, forma de pago y plazo de entrega.]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hanging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hanging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hanging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