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oppins" w:hAnsi="Poppins" w:cs="Poppins" w:eastAsia="Poppins"/>
          <w:b/>
          <w:color w:val="000000"/>
          <w:sz w:val="44"/>
        </w:rPr>
        <w:t>ultimamilla</w:t>
      </w:r>
      <w:r>
        <w:rPr>
          <w:rFonts w:ascii="Poppins" w:hAnsi="Poppins" w:cs="Poppins" w:eastAsia="Poppins"/>
          <w:b/>
          <w:color w:val="DC2626"/>
          <w:sz w:val="44"/>
        </w:rPr>
        <w:t>.</w:t>
      </w:r>
      <w:r>
        <w:rPr>
          <w:rFonts w:ascii="Poppins" w:hAnsi="Poppins" w:cs="Poppins" w:eastAsia="Poppins"/>
          <w:b/>
          <w:color w:val="000000"/>
          <w:sz w:val="44"/>
        </w:rPr>
        <w:t>com</w:t>
      </w:r>
      <w:r>
        <w:rPr>
          <w:rFonts w:ascii="Poppins" w:hAnsi="Poppins" w:cs="Poppins" w:eastAsia="Poppins"/>
          <w:b/>
          <w:color w:val="DC2626"/>
          <w:sz w:val="44"/>
        </w:rPr>
        <w:t>.</w:t>
      </w:r>
      <w:r>
        <w:rPr>
          <w:rFonts w:ascii="Poppins" w:hAnsi="Poppins" w:cs="Poppins" w:eastAsia="Poppins"/>
          <w:b/>
          <w:color w:val="000000"/>
          <w:sz w:val="44"/>
        </w:rPr>
        <w:t>ar</w:t>
      </w:r>
    </w:p>
    <w:p>
      <w:pPr>
        <w:pBdr>
          <w:bottom w:val="single" w:sz="12" w:space="1" w:color="DC2626"/>
        </w:pBdr>
      </w:pPr>
    </w:p>
    <w:p>
      <w:pPr>
        <w:spacing w:after="120"/>
      </w:pPr>
      <w:r>
        <w:rPr>
          <w:rFonts w:ascii="Poppins" w:hAnsi="Poppins" w:cs="Poppins" w:eastAsia="Poppins"/>
          <w:b/>
          <w:color w:val="000000"/>
          <w:sz w:val="40"/>
        </w:rPr>
        <w:t>CAEA en cuenta regresiva: el plan B se queda sin plan A</w:t>
      </w:r>
    </w:p>
    <w:p>
      <w:pPr>
        <w:spacing w:after="280"/>
      </w:pPr>
      <w:r>
        <w:rPr>
          <w:rFonts w:ascii="Arial" w:hAnsi="Arial" w:cs="Arial" w:eastAsia="Arial"/>
          <w:b w:val="0"/>
          <w:color w:val="666666"/>
          <w:sz w:val="18"/>
        </w:rPr>
        <w:t>Categoría: noticias   ·   Publicación: 2026-04-26 14:00 ART   ·   Slug: caea-en-cuenta-regresiva-el-plan-b-se-queda-sin-plan-a</w:t>
      </w:r>
    </w:p>
    <w:p>
      <w:pPr>
        <w:spacing w:after="160"/>
      </w:pPr>
      <w:r>
        <w:rPr>
          <w:rFonts w:ascii="Arial" w:hAnsi="Arial" w:cs="Arial" w:eastAsia="Arial"/>
          <w:b w:val="0"/>
          <w:color w:val="333333"/>
          <w:sz w:val="22"/>
        </w:rPr>
        <w:t xml:space="preserve">Imagine a un contador con 1.800 facturas mensuales emitidas vía CAEA, una conexión Starlink que titubea con el viento sur y un calendario que tacha días al revés. A Federico, dueño de un estudio en San Rafael con dieciséis bodegas chicas en cartera, le quedan treinta y seis días antes de que el procedimiento que arma cada lunes a las siete deje de servir como rutina. La </w:t>
      </w:r>
      <w:r>
        <w:rPr>
          <w:rFonts w:ascii="Arial" w:hAnsi="Arial" w:cs="Arial" w:eastAsia="Arial"/>
          <w:b w:val="0"/>
          <w:color w:val="1A56C0"/>
          <w:sz w:val="22"/>
          <w:u w:val="single"/>
        </w:rPr>
        <w:t>Resolución General 5782/2025 de ARCA</w:t>
      </w:r>
      <w:r>
        <w:rPr>
          <w:rFonts w:ascii="Arial" w:hAnsi="Arial" w:cs="Arial" w:eastAsia="Arial"/>
          <w:b w:val="0"/>
          <w:color w:val="333333"/>
          <w:sz w:val="22"/>
        </w:rPr>
        <w:t xml:space="preserve"> mueve el Código de Autorización Electrónico Anticipado del centro del tablero al borde. El plan B se queda sin plan A.</w:t>
      </w:r>
    </w:p>
    <w:p/>
    <w:p>
      <w:pPr>
        <w:spacing w:before="240" w:after="80"/>
        <w:pBdr>
          <w:bottom w:val="single" w:sz="6" w:space="2" w:color="DC2626"/>
        </w:pBdr>
      </w:pPr>
      <w:r>
        <w:rPr>
          <w:rFonts w:ascii="Poppins" w:hAnsi="Poppins" w:cs="Poppins" w:eastAsia="Poppins"/>
          <w:b/>
          <w:color w:val="000000"/>
          <w:sz w:val="24"/>
        </w:rPr>
        <w:t>LO QUE SE VENCE EL 1 DE JUNIO NO ES UN CÓDIGO, ES UNA COSTUMBRE</w:t>
      </w:r>
    </w:p>
    <w:p/>
    <w:p>
      <w:pPr>
        <w:spacing w:after="160"/>
      </w:pPr>
      <w:r>
        <w:rPr>
          <w:rFonts w:ascii="Arial" w:hAnsi="Arial" w:cs="Arial" w:eastAsia="Arial"/>
          <w:b w:val="0"/>
          <w:color w:val="333333"/>
          <w:sz w:val="22"/>
        </w:rPr>
        <w:t>Federico cierra balances los lunes. Los lunes anteriores a la cosecha empieza a las cinco. Desde 2014 el primer trámite de la mañana era el mismo: pedir un CAEA por WebService, validarlo, archivarlo en la nube. Diez minutos. Once años. Lo hacía por una razón terrenal: la fibra a Bermejo se corta apenas el zonda raspa la cordillera, y el respaldo satelital cobra por giga descargado. El CAEA le permitía emitir off-line, validar después, dormir sin susto.</w:t>
      </w:r>
    </w:p>
    <w:p/>
    <w:p>
      <w:pPr>
        <w:spacing w:after="160"/>
      </w:pPr>
      <w:r>
        <w:rPr>
          <w:rFonts w:ascii="Arial" w:hAnsi="Arial" w:cs="Arial" w:eastAsia="Arial"/>
          <w:b w:val="0"/>
          <w:color w:val="333333"/>
          <w:sz w:val="22"/>
        </w:rPr>
        <w:t xml:space="preserve">Eso termina el 1 de junio de 2026. La RG 5782/2025, </w:t>
      </w:r>
      <w:r>
        <w:rPr>
          <w:rFonts w:ascii="Arial" w:hAnsi="Arial" w:cs="Arial" w:eastAsia="Arial"/>
          <w:b w:val="0"/>
          <w:color w:val="1A56C0"/>
          <w:sz w:val="22"/>
          <w:u w:val="single"/>
        </w:rPr>
        <w:t>publicada en el Boletín Oficial el 30 de octubre de 2025</w:t>
      </w:r>
      <w:r>
        <w:rPr>
          <w:rFonts w:ascii="Arial" w:hAnsi="Arial" w:cs="Arial" w:eastAsia="Arial"/>
          <w:b w:val="0"/>
          <w:color w:val="333333"/>
          <w:sz w:val="22"/>
        </w:rPr>
        <w:t xml:space="preserve">, reescribe el procedimiento: el CAEA queda </w:t>
      </w:r>
      <w:r>
        <w:rPr>
          <w:rFonts w:ascii="Arial" w:hAnsi="Arial" w:cs="Arial" w:eastAsia="Arial"/>
          <w:b/>
          <w:color w:val="000000"/>
          <w:sz w:val="22"/>
        </w:rPr>
        <w:t>exclusivamente</w:t>
      </w:r>
      <w:r>
        <w:rPr>
          <w:rFonts w:ascii="Arial" w:hAnsi="Arial" w:cs="Arial" w:eastAsia="Arial"/>
          <w:b w:val="0"/>
          <w:color w:val="333333"/>
          <w:sz w:val="22"/>
        </w:rPr>
        <w:t xml:space="preserve"> para casos de contingencia técnica, justificados ante el organismo. Quien lo use como rutina, va a tener que explicar por qué.</w:t>
      </w:r>
    </w:p>
    <w:p/>
    <w:p>
      <w:pPr>
        <w:spacing w:after="160"/>
      </w:pPr>
      <w:r>
        <w:rPr>
          <w:rFonts w:ascii="Arial" w:hAnsi="Arial" w:cs="Arial" w:eastAsia="Arial"/>
          <w:b w:val="0"/>
          <w:color w:val="333333"/>
          <w:sz w:val="22"/>
        </w:rPr>
        <w:t>La Comisión Europea, que arranca su propio plan de facturación electrónica obligatoria bajo el paquete ViDA, le da plazo a las pymes europeas hasta 2030 para migrar. ARCA decidió hacerlo en 2026.</w:t>
      </w:r>
    </w:p>
    <w:p/>
    <w:p>
      <w:pPr>
        <w:spacing w:before="240" w:after="80"/>
        <w:pBdr>
          <w:bottom w:val="single" w:sz="6" w:space="2" w:color="DC2626"/>
        </w:pBdr>
      </w:pPr>
      <w:r>
        <w:rPr>
          <w:rFonts w:ascii="Poppins" w:hAnsi="Poppins" w:cs="Poppins" w:eastAsia="Poppins"/>
          <w:b/>
          <w:color w:val="000000"/>
          <w:sz w:val="24"/>
        </w:rPr>
        <w:t>POR QUÉ "COMPRAR MÁS CONEXIÓN" NO RESUELVE NADA</w:t>
      </w:r>
    </w:p>
    <w:p/>
    <w:p>
      <w:pPr>
        <w:spacing w:after="160"/>
      </w:pPr>
      <w:r>
        <w:rPr>
          <w:rFonts w:ascii="Arial" w:hAnsi="Arial" w:cs="Arial" w:eastAsia="Arial"/>
          <w:b w:val="0"/>
          <w:color w:val="333333"/>
          <w:sz w:val="22"/>
        </w:rPr>
        <w:t xml:space="preserve">La respuesta intuitiva es comprar otro enlace. Más fibra, más Starlink, más respaldo 5G. La pista de los números va por otro lado. El antagonista no es el ancho de banda: es la propia letra de la resolución. La nueva redacción exige que el CAEA solo se use cuando el contribuyente puede demostrar que existió un </w:t>
      </w:r>
      <w:r>
        <w:rPr>
          <w:rFonts w:ascii="Arial" w:hAnsi="Arial" w:cs="Arial" w:eastAsia="Arial"/>
          <w:b/>
          <w:color w:val="000000"/>
          <w:sz w:val="22"/>
        </w:rPr>
        <w:t>incidente técnico imputable al sistema</w:t>
      </w:r>
      <w:r>
        <w:rPr>
          <w:rFonts w:ascii="Arial" w:hAnsi="Arial" w:cs="Arial" w:eastAsia="Arial"/>
          <w:b w:val="0"/>
          <w:color w:val="333333"/>
          <w:sz w:val="22"/>
        </w:rPr>
        <w:t xml:space="preserve"> —caída de WebService, indisponibilidad de internet del proveedor, falla edilicia—. La auditoría pasa a ser por excepción.</w:t>
      </w:r>
    </w:p>
    <w:p/>
    <w:p>
      <w:pPr>
        <w:spacing w:after="160"/>
      </w:pPr>
      <w:r>
        <w:rPr>
          <w:rFonts w:ascii="Arial" w:hAnsi="Arial" w:cs="Arial" w:eastAsia="Arial"/>
          <w:b w:val="0"/>
          <w:color w:val="333333"/>
          <w:sz w:val="22"/>
        </w:rPr>
        <w:t>Federico tiene tres clientes con bodegas en zonas donde el corte de luz dura entre dos y seis horas en verano. Si emite con CAEA porque "se le cae la conexión seguido", la AFIP-ARCA le pedirá traza de cada incidente: ticket del proveedor, captura del modem, log de la caída. Sin eso, la factura es válida pero el contribuyente queda con observación. La diferencia, en términos contables, no es chica.</w:t>
      </w:r>
    </w:p>
    <w:p/>
    <w:p>
      <w:pPr>
        <w:spacing w:after="160"/>
      </w:pPr>
      <w:r>
        <w:rPr>
          <w:rFonts w:ascii="Arial" w:hAnsi="Arial" w:cs="Arial" w:eastAsia="Arial"/>
          <w:b w:val="0"/>
          <w:color w:val="333333"/>
          <w:sz w:val="22"/>
        </w:rPr>
        <w:t>El segundo antagonista es el reloj. La RG 5782/2025 mantiene los plazos cortos del CAEA: hay que informar los comprobantes generados dentro de la ventana habilitada o entran en otra categoría. La contingencia con horario.</w:t>
      </w:r>
    </w:p>
    <w:p/>
    <w:p>
      <w:pPr>
        <w:spacing w:before="240" w:after="80"/>
        <w:pBdr>
          <w:bottom w:val="single" w:sz="6" w:space="2" w:color="DC2626"/>
        </w:pBdr>
      </w:pPr>
      <w:r>
        <w:rPr>
          <w:rFonts w:ascii="Poppins" w:hAnsi="Poppins" w:cs="Poppins" w:eastAsia="Poppins"/>
          <w:b/>
          <w:color w:val="000000"/>
          <w:sz w:val="24"/>
        </w:rPr>
        <w:t>LA SALIDA POR ARRIBA: STACK ABIERTO Y PLAN DE EMERGENCIA ESCRITO</w:t>
      </w:r>
    </w:p>
    <w:p/>
    <w:p>
      <w:pPr>
        <w:spacing w:after="160"/>
      </w:pPr>
      <w:r>
        <w:rPr>
          <w:rFonts w:ascii="Arial" w:hAnsi="Arial" w:cs="Arial" w:eastAsia="Arial"/>
          <w:b w:val="0"/>
          <w:color w:val="333333"/>
          <w:sz w:val="22"/>
        </w:rPr>
        <w:t>La pila concreta que un estudio del interior puede armar la semana próxima:</w:t>
      </w:r>
    </w:p>
    <w:p/>
    <w:p>
      <w:pPr>
        <w:pStyle w:val="ListBullet"/>
      </w:pPr>
      <w:r>
        <w:rPr>
          <w:rFonts w:ascii="Arial" w:hAnsi="Arial" w:cs="Arial" w:eastAsia="Arial"/>
          <w:b/>
          <w:color w:val="000000"/>
          <w:sz w:val="20"/>
        </w:rPr>
        <w:t>PostgreSQL 17</w:t>
      </w:r>
      <w:r>
        <w:rPr>
          <w:rFonts w:ascii="Arial" w:hAnsi="Arial" w:cs="Arial" w:eastAsia="Arial"/>
          <w:b w:val="0"/>
          <w:color w:val="333333"/>
          <w:sz w:val="20"/>
        </w:rPr>
        <w:t xml:space="preserve"> como motor de base local, replicado a un VPS argentino (Donweb, Hostek u otro) con `pg_basebackup` cifrado.</w:t>
      </w:r>
    </w:p>
    <w:p>
      <w:pPr>
        <w:pStyle w:val="ListBullet"/>
      </w:pPr>
      <w:r>
        <w:rPr>
          <w:rFonts w:ascii="Arial" w:hAnsi="Arial" w:cs="Arial" w:eastAsia="Arial"/>
          <w:b/>
          <w:color w:val="000000"/>
          <w:sz w:val="20"/>
        </w:rPr>
        <w:t>Odoo 18 Community</w:t>
      </w:r>
      <w:r>
        <w:rPr>
          <w:rFonts w:ascii="Arial" w:hAnsi="Arial" w:cs="Arial" w:eastAsia="Arial"/>
          <w:b w:val="0"/>
          <w:color w:val="333333"/>
          <w:sz w:val="20"/>
        </w:rPr>
        <w:t xml:space="preserve"> o </w:t>
      </w:r>
      <w:r>
        <w:rPr>
          <w:rFonts w:ascii="Arial" w:hAnsi="Arial" w:cs="Arial" w:eastAsia="Arial"/>
          <w:b/>
          <w:color w:val="000000"/>
          <w:sz w:val="20"/>
        </w:rPr>
        <w:t>Tryton 7.6</w:t>
      </w:r>
      <w:r>
        <w:rPr>
          <w:rFonts w:ascii="Arial" w:hAnsi="Arial" w:cs="Arial" w:eastAsia="Arial"/>
          <w:b w:val="0"/>
          <w:color w:val="333333"/>
          <w:sz w:val="20"/>
        </w:rPr>
        <w:t xml:space="preserve"> corriendo on-premise para emisión normal vía CAE en línea.</w:t>
      </w:r>
    </w:p>
    <w:p>
      <w:pPr>
        <w:pStyle w:val="ListBullet"/>
      </w:pPr>
      <w:r>
        <w:rPr>
          <w:rFonts w:ascii="Arial" w:hAnsi="Arial" w:cs="Arial" w:eastAsia="Arial"/>
          <w:b/>
          <w:color w:val="000000"/>
          <w:sz w:val="20"/>
        </w:rPr>
        <w:t>WireGuard</w:t>
      </w:r>
      <w:r>
        <w:rPr>
          <w:rFonts w:ascii="Arial" w:hAnsi="Arial" w:cs="Arial" w:eastAsia="Arial"/>
          <w:b w:val="0"/>
          <w:color w:val="333333"/>
          <w:sz w:val="20"/>
        </w:rPr>
        <w:t xml:space="preserve"> entre estudio y VPS para que, cuando se caiga la fibra, el sistema siga emitiendo CAE sobre el enlace de respaldo sin saltar a CAEA.</w:t>
      </w:r>
    </w:p>
    <w:p>
      <w:pPr>
        <w:pStyle w:val="ListBullet"/>
      </w:pPr>
      <w:r>
        <w:rPr>
          <w:rFonts w:ascii="Arial" w:hAnsi="Arial" w:cs="Arial" w:eastAsia="Arial"/>
          <w:b/>
          <w:color w:val="000000"/>
          <w:sz w:val="20"/>
        </w:rPr>
        <w:t>Procedimiento de contingencia documentado</w:t>
      </w:r>
      <w:r>
        <w:rPr>
          <w:rFonts w:ascii="Arial" w:hAnsi="Arial" w:cs="Arial" w:eastAsia="Arial"/>
          <w:b w:val="0"/>
          <w:color w:val="333333"/>
          <w:sz w:val="20"/>
        </w:rPr>
        <w:t>: quién decide, qué se imprime, cuántos comprobantes, qué se informa al cliente. Una hoja, no un manual.</w:t>
      </w:r>
    </w:p>
    <w:p/>
    <w:p>
      <w:pPr>
        <w:spacing w:after="160"/>
      </w:pPr>
      <w:r>
        <w:rPr>
          <w:rFonts w:ascii="Arial" w:hAnsi="Arial" w:cs="Arial" w:eastAsia="Arial"/>
          <w:b w:val="0"/>
          <w:color w:val="333333"/>
          <w:sz w:val="22"/>
        </w:rPr>
        <w:t>Costos aproximados al cambio del 25 de abril: VPS de 8 GB en proveedor argentino, USD 35/mes (≈ $42.000 ARS). Implementación inicial con un técnico, 18 a 24 horas de trabajo. Ahorro frente a la opción de contratar dos enlaces simétricos de 100 Mbps en pueblo chico: entre USD 180 y USD 240 mensuales, según relevamiento de proveedores cuyanos.</w:t>
      </w:r>
    </w:p>
    <w:p/>
    <w:p>
      <w:pPr>
        <w:spacing w:after="160"/>
      </w:pPr>
      <w:r>
        <w:rPr>
          <w:rFonts w:ascii="Arial" w:hAnsi="Arial" w:cs="Arial" w:eastAsia="Arial"/>
          <w:b w:val="0"/>
          <w:color w:val="333333"/>
          <w:sz w:val="22"/>
        </w:rPr>
        <w:t>Acá entra ULTIMA MILLA: en una mutual cuyana migramos en 2025 la pila de facturación a este esquema y el procedimiento de contingencia escrito ahorró tres horas por mes de re-trabajo administrativo. La mutual está en una localidad donde el corte de fibra es semanal, no excepcional. Lo importante no fue cambiar de software, fue cambiar la pregunta: ¿de qué me quiero defender?</w:t>
      </w:r>
    </w:p>
    <w:p/>
    <w:p>
      <w:pPr>
        <w:spacing w:before="240" w:after="80"/>
        <w:pBdr>
          <w:bottom w:val="single" w:sz="6" w:space="2" w:color="DC2626"/>
        </w:pBdr>
      </w:pPr>
      <w:r>
        <w:rPr>
          <w:rFonts w:ascii="Poppins" w:hAnsi="Poppins" w:cs="Poppins" w:eastAsia="Poppins"/>
          <w:b/>
          <w:color w:val="000000"/>
          <w:sz w:val="24"/>
        </w:rPr>
        <w:t>TRES RIESGOS QUE CONVIENE MIRAR ANTES DE COPIAR EL MODELO</w:t>
      </w:r>
    </w:p>
    <w:p/>
    <w:p>
      <w:pPr>
        <w:spacing w:after="160"/>
      </w:pPr>
      <w:r>
        <w:rPr>
          <w:rFonts w:ascii="Arial" w:hAnsi="Arial" w:cs="Arial" w:eastAsia="Arial"/>
          <w:b w:val="0"/>
          <w:color w:val="333333"/>
          <w:sz w:val="22"/>
        </w:rPr>
        <w:t xml:space="preserve">Primero, la </w:t>
      </w:r>
      <w:r>
        <w:rPr>
          <w:rFonts w:ascii="Arial" w:hAnsi="Arial" w:cs="Arial" w:eastAsia="Arial"/>
          <w:b/>
          <w:color w:val="000000"/>
          <w:sz w:val="22"/>
        </w:rPr>
        <w:t>certificación de equipos</w:t>
      </w:r>
      <w:r>
        <w:rPr>
          <w:rFonts w:ascii="Arial" w:hAnsi="Arial" w:cs="Arial" w:eastAsia="Arial"/>
          <w:b w:val="0"/>
          <w:color w:val="333333"/>
          <w:sz w:val="22"/>
        </w:rPr>
        <w:t xml:space="preserve">: si el cliente tiene controlador fiscal y emite Tickets B, hay que mirar si el equipo soporta firmware reciente o queda como punto único de falla. Segundo, </w:t>
      </w:r>
      <w:r>
        <w:rPr>
          <w:rFonts w:ascii="Arial" w:hAnsi="Arial" w:cs="Arial" w:eastAsia="Arial"/>
          <w:b/>
          <w:color w:val="000000"/>
          <w:sz w:val="22"/>
        </w:rPr>
        <w:t>logs y trazabilidad</w:t>
      </w:r>
      <w:r>
        <w:rPr>
          <w:rFonts w:ascii="Arial" w:hAnsi="Arial" w:cs="Arial" w:eastAsia="Arial"/>
          <w:b w:val="0"/>
          <w:color w:val="333333"/>
          <w:sz w:val="22"/>
        </w:rPr>
        <w:t xml:space="preserve">: ARCA puede pedir prueba del incidente. Sin un sistema que guarde caídas con timestamp, no hay defensa. Tercero, </w:t>
      </w:r>
      <w:r>
        <w:rPr>
          <w:rFonts w:ascii="Arial" w:hAnsi="Arial" w:cs="Arial" w:eastAsia="Arial"/>
          <w:b/>
          <w:color w:val="000000"/>
          <w:sz w:val="22"/>
        </w:rPr>
        <w:t>plan de comunicación con el cliente</w:t>
      </w:r>
      <w:r>
        <w:rPr>
          <w:rFonts w:ascii="Arial" w:hAnsi="Arial" w:cs="Arial" w:eastAsia="Arial"/>
          <w:b w:val="0"/>
          <w:color w:val="333333"/>
          <w:sz w:val="22"/>
        </w:rPr>
        <w:t>: si la bodega despacha embarques de exportación los viernes, no se puede improvisar la factura el sábado.</w:t>
      </w:r>
    </w:p>
    <w:p/>
    <w:p>
      <w:pPr>
        <w:spacing w:after="160"/>
      </w:pPr>
      <w:r>
        <w:rPr>
          <w:rFonts w:ascii="Arial" w:hAnsi="Arial" w:cs="Arial" w:eastAsia="Arial"/>
          <w:b w:val="0"/>
          <w:color w:val="333333"/>
          <w:sz w:val="22"/>
        </w:rPr>
        <w:t>El reloj sigue corriendo. Federico ya marcó el 31 de mayo en rojo en el calendario.</w:t>
      </w:r>
    </w:p>
    <w:p/>
    <w:p>
      <w:pPr>
        <w:spacing w:before="240" w:after="80"/>
        <w:pBdr>
          <w:bottom w:val="single" w:sz="6" w:space="2" w:color="DC2626"/>
        </w:pBdr>
      </w:pPr>
      <w:r>
        <w:rPr>
          <w:rFonts w:ascii="Poppins" w:hAnsi="Poppins" w:cs="Poppins" w:eastAsia="Poppins"/>
          <w:b/>
          <w:color w:val="000000"/>
          <w:sz w:val="24"/>
        </w:rPr>
        <w:t>PARA SEGUIR LEYENDO</w:t>
      </w:r>
    </w:p>
    <w:p/>
    <w:p>
      <w:pPr>
        <w:pStyle w:val="ListBullet"/>
      </w:pPr>
      <w:r>
        <w:rPr>
          <w:rFonts w:ascii="Arial" w:hAnsi="Arial" w:cs="Arial" w:eastAsia="Arial"/>
          <w:b w:val="0"/>
          <w:color w:val="1A56C0"/>
          <w:sz w:val="20"/>
          <w:u w:val="single"/>
        </w:rPr>
        <w:t>RG 5782/2025 — Boletín Oficial 30/10/2025</w:t>
      </w:r>
    </w:p>
    <w:p>
      <w:pPr>
        <w:pStyle w:val="ListBullet"/>
      </w:pPr>
      <w:r>
        <w:rPr>
          <w:rFonts w:ascii="Arial" w:hAnsi="Arial" w:cs="Arial" w:eastAsia="Arial"/>
          <w:b w:val="0"/>
          <w:color w:val="1A56C0"/>
          <w:sz w:val="20"/>
          <w:u w:val="single"/>
        </w:rPr>
        <w:t>Resumen RG 5782/2025 — Blog del Contador</w:t>
      </w:r>
    </w:p>
    <w:p>
      <w:pPr>
        <w:pStyle w:val="ListBullet"/>
      </w:pPr>
      <w:r>
        <w:rPr>
          <w:rFonts w:ascii="Arial" w:hAnsi="Arial" w:cs="Arial" w:eastAsia="Arial"/>
          <w:b w:val="0"/>
          <w:color w:val="1A56C0"/>
          <w:sz w:val="20"/>
          <w:u w:val="single"/>
        </w:rPr>
        <w:t>Microsección Factura Electrónica — ARCA/AFIP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34" w:bottom="136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000"/>
      </w:tabs>
    </w:pPr>
    <w:r>
      <w:rPr>
        <w:rFonts w:ascii="Poppins" w:hAnsi="Poppins" w:cs="Poppins" w:eastAsia="Poppins"/>
        <w:b/>
        <w:color w:val="DC2626"/>
        <w:sz w:val="18"/>
      </w:rPr>
      <w:t>www.ultimamilla.com.ar</w:t>
    </w:r>
    <w:r>
      <w:tab/>
    </w:r>
    <w:r>
      <w:rPr>
        <w:rFonts w:ascii="Arial" w:hAnsi="Arial" w:cs="Arial" w:eastAsia="Arial"/>
        <w:b w:val="0"/>
        <w:color w:val="666666"/>
        <w:sz w:val="16"/>
      </w:rPr>
      <w:t xml:space="preserve">2026-04-26 14:00 ART  —  Pág. </w:t>
    </w:r>
    <w:r>
      <w:rPr>
        <w:rFonts w:ascii="Arial" w:hAnsi="Arial" w:cs="Arial" w:eastAsia="Arial"/>
        <w:b w:val="0"/>
        <w:color w:val="666666"/>
        <w:sz w:val="16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DC2626"/>
      </w:pBdr>
      <w:tabs>
        <w:tab w:val="right" w:pos="9000"/>
      </w:tabs>
    </w:pPr>
    <w:r>
      <w:rPr>
        <w:rFonts w:ascii="Poppins" w:hAnsi="Poppins" w:cs="Poppins" w:eastAsia="Poppins"/>
        <w:b/>
        <w:color w:val="000000"/>
        <w:sz w:val="20"/>
      </w:rPr>
      <w:t>ultimamilla</w:t>
    </w:r>
    <w:r>
      <w:rPr>
        <w:rFonts w:ascii="Poppins" w:hAnsi="Poppins" w:cs="Poppins" w:eastAsia="Poppins"/>
        <w:b/>
        <w:color w:val="DC2626"/>
        <w:sz w:val="20"/>
      </w:rPr>
      <w:t>.</w:t>
    </w:r>
    <w:r>
      <w:rPr>
        <w:rFonts w:ascii="Poppins" w:hAnsi="Poppins" w:cs="Poppins" w:eastAsia="Poppins"/>
        <w:b/>
        <w:color w:val="000000"/>
        <w:sz w:val="20"/>
      </w:rPr>
      <w:t>com</w:t>
    </w:r>
    <w:r>
      <w:rPr>
        <w:rFonts w:ascii="Poppins" w:hAnsi="Poppins" w:cs="Poppins" w:eastAsia="Poppins"/>
        <w:b/>
        <w:color w:val="DC2626"/>
        <w:sz w:val="20"/>
      </w:rPr>
      <w:t>.</w:t>
    </w:r>
    <w:r>
      <w:rPr>
        <w:rFonts w:ascii="Poppins" w:hAnsi="Poppins" w:cs="Poppins" w:eastAsia="Poppins"/>
        <w:b/>
        <w:color w:val="000000"/>
        <w:sz w:val="20"/>
      </w:rPr>
      <w:t>ar</w:t>
    </w:r>
    <w:r>
      <w:rPr>
        <w:rFonts w:ascii="Arial" w:hAnsi="Arial" w:cs="Arial" w:eastAsia="Arial"/>
        <w:b w:val="0"/>
        <w:sz w:val="18"/>
      </w:rPr>
      <w:tab/>
    </w:r>
    <w:r>
      <w:rPr>
        <w:rFonts w:ascii="Arial" w:hAnsi="Arial" w:cs="Arial" w:eastAsia="Arial"/>
        <w:b w:val="0"/>
        <w:color w:val="666666"/>
        <w:sz w:val="18"/>
      </w:rPr>
      <w:t>BLOG · ID #55 · NOTICIAS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