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oppins" w:hAnsi="Poppins" w:cs="Poppins" w:eastAsia="Poppins"/>
          <w:b/>
          <w:color w:val="000000"/>
          <w:sz w:val="44"/>
        </w:rPr>
        <w:t>ultimamilla</w:t>
      </w:r>
      <w:r>
        <w:rPr>
          <w:rFonts w:ascii="Poppins" w:hAnsi="Poppins" w:cs="Poppins" w:eastAsia="Poppins"/>
          <w:b/>
          <w:color w:val="DC2626"/>
          <w:sz w:val="44"/>
        </w:rPr>
        <w:t>.</w:t>
      </w:r>
      <w:r>
        <w:rPr>
          <w:rFonts w:ascii="Poppins" w:hAnsi="Poppins" w:cs="Poppins" w:eastAsia="Poppins"/>
          <w:b/>
          <w:color w:val="000000"/>
          <w:sz w:val="44"/>
        </w:rPr>
        <w:t>com</w:t>
      </w:r>
      <w:r>
        <w:rPr>
          <w:rFonts w:ascii="Poppins" w:hAnsi="Poppins" w:cs="Poppins" w:eastAsia="Poppins"/>
          <w:b/>
          <w:color w:val="DC2626"/>
          <w:sz w:val="44"/>
        </w:rPr>
        <w:t>.</w:t>
      </w:r>
      <w:r>
        <w:rPr>
          <w:rFonts w:ascii="Poppins" w:hAnsi="Poppins" w:cs="Poppins" w:eastAsia="Poppins"/>
          <w:b/>
          <w:color w:val="000000"/>
          <w:sz w:val="44"/>
        </w:rPr>
        <w:t>ar</w:t>
      </w:r>
    </w:p>
    <w:p>
      <w:pPr>
        <w:pBdr>
          <w:bottom w:val="single" w:sz="12" w:space="1" w:color="DC2626"/>
        </w:pBdr>
      </w:pPr>
    </w:p>
    <w:p>
      <w:pPr>
        <w:spacing w:after="120"/>
      </w:pPr>
      <w:r>
        <w:rPr>
          <w:rFonts w:ascii="Poppins" w:hAnsi="Poppins" w:cs="Poppins" w:eastAsia="Poppins"/>
          <w:b/>
          <w:color w:val="000000"/>
          <w:sz w:val="40"/>
        </w:rPr>
        <w:t>Concesionaria de Tunuyán vs nota de crédito en domingo</w:t>
      </w:r>
    </w:p>
    <w:p>
      <w:pPr>
        <w:spacing w:after="280"/>
      </w:pPr>
      <w:r>
        <w:rPr>
          <w:rFonts w:ascii="Arial" w:hAnsi="Arial" w:cs="Arial" w:eastAsia="Arial"/>
          <w:b w:val="0"/>
          <w:color w:val="666666"/>
          <w:sz w:val="18"/>
        </w:rPr>
        <w:t>Categoría: proyectos   ·   Publicación: 2026-04-26 19:00 ART   ·   Slug: concesionaria-de-tunuyan-vs-nota-de-credito-en-domingo</w:t>
      </w:r>
    </w:p>
    <w:p>
      <w:pPr>
        <w:spacing w:after="160"/>
      </w:pPr>
      <w:r>
        <w:rPr>
          <w:rFonts w:ascii="Arial" w:hAnsi="Arial" w:cs="Arial" w:eastAsia="Arial"/>
          <w:b w:val="0"/>
          <w:color w:val="333333"/>
          <w:sz w:val="22"/>
        </w:rPr>
        <w:t xml:space="preserve">El segundo domingo de marzo, a las 16:43, una concesionaria sobre la Ruta 40 en Tunuyán perdió una venta de pickup 0 km porque el ERP comercial no le permitió emitir una nota de crédito. El cliente tenía la transferencia hecha desde una sucursal del Banco Nación de Mendoza Capital, el patentamiento iniciado y la voluntad de manejar la camioneta esa misma tarde hacia Vista Flores. Lo que no había era acceso al módulo administrativo del software: el contrato de soporte SaaS estipulaba atención </w:t>
      </w:r>
      <w:r>
        <w:rPr>
          <w:rFonts w:ascii="Arial" w:hAnsi="Arial" w:cs="Arial" w:eastAsia="Arial"/>
          <w:b/>
          <w:color w:val="000000"/>
          <w:sz w:val="22"/>
        </w:rPr>
        <w:t>lunes a viernes de 9 a 18</w:t>
      </w:r>
      <w:r>
        <w:rPr>
          <w:rFonts w:ascii="Arial" w:hAnsi="Arial" w:cs="Arial" w:eastAsia="Arial"/>
          <w:b w:val="0"/>
          <w:color w:val="333333"/>
          <w:sz w:val="22"/>
        </w:rPr>
        <w:t>. Domingo, ni con un mensaje en el chat de WhatsApp.</w:t>
      </w:r>
    </w:p>
    <w:p/>
    <w:p>
      <w:pPr>
        <w:spacing w:before="240" w:after="80"/>
        <w:pBdr>
          <w:bottom w:val="single" w:sz="6" w:space="2" w:color="DC2626"/>
        </w:pBdr>
      </w:pPr>
      <w:r>
        <w:rPr>
          <w:rFonts w:ascii="Poppins" w:hAnsi="Poppins" w:cs="Poppins" w:eastAsia="Poppins"/>
          <w:b/>
          <w:color w:val="000000"/>
          <w:sz w:val="24"/>
        </w:rPr>
        <w:t>EL SISTEMA QUE SOLO TRABAJA EN HORARIO DE OFICINA CUANDO LA OFICINA YA CERRÓ</w:t>
      </w:r>
    </w:p>
    <w:p/>
    <w:p>
      <w:pPr>
        <w:spacing w:after="160"/>
      </w:pPr>
      <w:r>
        <w:rPr>
          <w:rFonts w:ascii="Arial" w:hAnsi="Arial" w:cs="Arial" w:eastAsia="Arial"/>
          <w:b w:val="0"/>
          <w:color w:val="333333"/>
          <w:sz w:val="22"/>
        </w:rPr>
        <w:t>Eduardo, jefe de compras y administración del concesionario, lleva nueve años con el mismo paquete. Pagaba USD 480 al mes, en pesos al cambio oficial del último día. Una camioneta blanca con la calcomanía oxidada de la primera promoción del año estacionada al frente. Café Bonafide en taza térmica. Computadora con Windows 10 que pide actualizar cada media hora.</w:t>
      </w:r>
    </w:p>
    <w:p/>
    <w:p>
      <w:pPr>
        <w:spacing w:after="160"/>
      </w:pPr>
      <w:r>
        <w:rPr>
          <w:rFonts w:ascii="Arial" w:hAnsi="Arial" w:cs="Arial" w:eastAsia="Arial"/>
          <w:b w:val="0"/>
          <w:color w:val="333333"/>
          <w:sz w:val="22"/>
        </w:rPr>
        <w:t>El sistema cumplía bien la función básica: registrar ventas, emitir factura A, sincronizar con AFIP/ARCA. Lo hacía hasta que tuvo que hacer algo distinto. Una nota de crédito por un equipamiento que el comprador devolvió porque la pickup salió de fábrica sin la barra antivuelco —reclamo legítimo, comprobable, que cualquier ERP debería poder gestionar—. La operación quedó congelada. Eduardo intentó forzar el procedimiento. El ERP devolvió un cartel dócil: "Operación no permitida fuera de horario administrativo".</w:t>
      </w:r>
    </w:p>
    <w:p/>
    <w:p>
      <w:pPr>
        <w:spacing w:after="160"/>
      </w:pPr>
      <w:r>
        <w:rPr>
          <w:rFonts w:ascii="Arial" w:hAnsi="Arial" w:cs="Arial" w:eastAsia="Arial"/>
          <w:b w:val="0"/>
          <w:color w:val="333333"/>
          <w:sz w:val="22"/>
        </w:rPr>
        <w:t xml:space="preserve">Según </w:t>
      </w:r>
      <w:r>
        <w:rPr>
          <w:rFonts w:ascii="Arial" w:hAnsi="Arial" w:cs="Arial" w:eastAsia="Arial"/>
          <w:b w:val="0"/>
          <w:color w:val="1A56C0"/>
          <w:sz w:val="22"/>
          <w:u w:val="single"/>
        </w:rPr>
        <w:t>estadísticas mensuales de ADEFA de febrero 2026</w:t>
      </w:r>
      <w:r>
        <w:rPr>
          <w:rFonts w:ascii="Arial" w:hAnsi="Arial" w:cs="Arial" w:eastAsia="Arial"/>
          <w:b w:val="0"/>
          <w:color w:val="333333"/>
          <w:sz w:val="22"/>
        </w:rPr>
        <w:t>, las concesionarias argentinas comercializaron 36.292 unidades en ese mes. Cuyo aporta entre el 7 y el 8% del total. Que un domingo se trabe una operación no es excepción: en zonas donde el cliente viene desde 200 km, la fuerza de la venta está justamente en el fin de semana.</w:t>
      </w:r>
    </w:p>
    <w:p/>
    <w:p>
      <w:pPr>
        <w:spacing w:before="240" w:after="80"/>
        <w:pBdr>
          <w:bottom w:val="single" w:sz="6" w:space="2" w:color="DC2626"/>
        </w:pBdr>
      </w:pPr>
      <w:r>
        <w:rPr>
          <w:rFonts w:ascii="Poppins" w:hAnsi="Poppins" w:cs="Poppins" w:eastAsia="Poppins"/>
          <w:b/>
          <w:color w:val="000000"/>
          <w:sz w:val="24"/>
        </w:rPr>
        <w:t>POR QUÉ "EXIGIR MEJOR SLA" NO SOLUCIONA EL PROBLEMA</w:t>
      </w:r>
    </w:p>
    <w:p/>
    <w:p>
      <w:pPr>
        <w:spacing w:after="160"/>
      </w:pPr>
      <w:r>
        <w:rPr>
          <w:rFonts w:ascii="Arial" w:hAnsi="Arial" w:cs="Arial" w:eastAsia="Arial"/>
          <w:b w:val="0"/>
          <w:color w:val="333333"/>
          <w:sz w:val="22"/>
        </w:rPr>
        <w:t>La respuesta intuitiva es renegociar el contrato. Pedir un SLA 24x7. Pagar más. Eduardo lo pensó. Cuando pidió cotización, el proveedor respondió con un upgrade que llevaba el costo a USD 920 mensuales y dejaba la atención telefónica de domingo solo para incidencias críticas, definidas por el propio proveedor. La promesa de respuesta era de seis horas. Una venta de domingo dura, en promedio, ochenta minutos.</w:t>
      </w:r>
    </w:p>
    <w:p/>
    <w:p>
      <w:pPr>
        <w:spacing w:after="160"/>
      </w:pPr>
      <w:r>
        <w:rPr>
          <w:rFonts w:ascii="Arial" w:hAnsi="Arial" w:cs="Arial" w:eastAsia="Arial"/>
          <w:b w:val="0"/>
          <w:color w:val="333333"/>
          <w:sz w:val="22"/>
        </w:rPr>
        <w:t xml:space="preserve">El antagonista verdadero no es el horario del soporte. Es la </w:t>
      </w:r>
      <w:r>
        <w:rPr>
          <w:rFonts w:ascii="Arial" w:hAnsi="Arial" w:cs="Arial" w:eastAsia="Arial"/>
          <w:b/>
          <w:color w:val="000000"/>
          <w:sz w:val="22"/>
        </w:rPr>
        <w:t>dependencia única</w:t>
      </w:r>
      <w:r>
        <w:rPr>
          <w:rFonts w:ascii="Arial" w:hAnsi="Arial" w:cs="Arial" w:eastAsia="Arial"/>
          <w:b w:val="0"/>
          <w:color w:val="333333"/>
          <w:sz w:val="22"/>
        </w:rPr>
        <w:t>: un sistema cerrado, donde el dueño del dato no puede hacer nada sin permiso del proveedor. La licencia con candado domingueado.</w:t>
      </w:r>
    </w:p>
    <w:p/>
    <w:p>
      <w:pPr>
        <w:spacing w:after="160"/>
      </w:pPr>
      <w:r>
        <w:rPr>
          <w:rFonts w:ascii="Arial" w:hAnsi="Arial" w:cs="Arial" w:eastAsia="Arial"/>
          <w:b w:val="0"/>
          <w:color w:val="333333"/>
          <w:sz w:val="22"/>
        </w:rPr>
        <w:t>Acá entra el segundo dato. Cada nota de crédito automotriz no emitida en el momento le cuesta a la concesionaria, según el cálculo interno de Eduardo, alrededor de $850.000 ARS al cambio de marzo, sumando comisión perdida del vendedor, retención del cliente y gasto operativo de la maniobra abortada. En seis meses de relevamiento, contó nueve casos similares. La cuenta sale más cara que el upgrade. Pero el upgrade no resuelve el problema estructural: el dueño del proceso sigue sin las llaves.</w:t>
      </w:r>
    </w:p>
    <w:p/>
    <w:p>
      <w:pPr>
        <w:spacing w:before="240" w:after="80"/>
        <w:pBdr>
          <w:bottom w:val="single" w:sz="6" w:space="2" w:color="DC2626"/>
        </w:pBdr>
      </w:pPr>
      <w:r>
        <w:rPr>
          <w:rFonts w:ascii="Poppins" w:hAnsi="Poppins" w:cs="Poppins" w:eastAsia="Poppins"/>
          <w:b/>
          <w:color w:val="000000"/>
          <w:sz w:val="24"/>
        </w:rPr>
        <w:t>LA SALIDA: ERP PROPIO, ON-PREMISE, CON PLAN DE SOPORTE INTERNO</w:t>
      </w:r>
    </w:p>
    <w:p/>
    <w:p>
      <w:pPr>
        <w:spacing w:after="160"/>
      </w:pPr>
      <w:r>
        <w:rPr>
          <w:rFonts w:ascii="Arial" w:hAnsi="Arial" w:cs="Arial" w:eastAsia="Arial"/>
          <w:b w:val="0"/>
          <w:color w:val="333333"/>
          <w:sz w:val="22"/>
        </w:rPr>
        <w:t>La pila concreta que se evaluó para la concesionaria:</w:t>
      </w:r>
    </w:p>
    <w:p/>
    <w:p>
      <w:pPr>
        <w:pStyle w:val="ListBullet"/>
      </w:pPr>
      <w:r>
        <w:rPr>
          <w:rFonts w:ascii="Arial" w:hAnsi="Arial" w:cs="Arial" w:eastAsia="Arial"/>
          <w:b/>
          <w:color w:val="000000"/>
          <w:sz w:val="20"/>
        </w:rPr>
        <w:t>Odoo 18 Community</w:t>
      </w:r>
      <w:r>
        <w:rPr>
          <w:rFonts w:ascii="Arial" w:hAnsi="Arial" w:cs="Arial" w:eastAsia="Arial"/>
          <w:b w:val="0"/>
          <w:color w:val="333333"/>
          <w:sz w:val="20"/>
        </w:rPr>
        <w:t xml:space="preserve"> con la </w:t>
      </w:r>
      <w:r>
        <w:rPr>
          <w:rFonts w:ascii="Arial" w:hAnsi="Arial" w:cs="Arial" w:eastAsia="Arial"/>
          <w:b w:val="0"/>
          <w:color w:val="1A56C0"/>
          <w:sz w:val="20"/>
          <w:u w:val="single"/>
        </w:rPr>
        <w:t>localización argentina oficial</w:t>
      </w:r>
      <w:r>
        <w:rPr>
          <w:rFonts w:ascii="Arial" w:hAnsi="Arial" w:cs="Arial" w:eastAsia="Arial"/>
          <w:b w:val="0"/>
          <w:color w:val="333333"/>
          <w:sz w:val="20"/>
        </w:rPr>
        <w:t xml:space="preserve">, corriendo on-premise sobre </w:t>
      </w:r>
      <w:r>
        <w:rPr>
          <w:rFonts w:ascii="Arial" w:hAnsi="Arial" w:cs="Arial" w:eastAsia="Arial"/>
          <w:b/>
          <w:color w:val="000000"/>
          <w:sz w:val="20"/>
        </w:rPr>
        <w:t>PostgreSQL 17</w:t>
      </w:r>
      <w:r>
        <w:rPr>
          <w:rFonts w:ascii="Arial" w:hAnsi="Arial" w:cs="Arial" w:eastAsia="Arial"/>
          <w:b w:val="0"/>
          <w:color w:val="333333"/>
          <w:sz w:val="20"/>
        </w:rPr>
        <w:t>.</w:t>
      </w:r>
    </w:p>
    <w:p>
      <w:pPr>
        <w:pStyle w:val="ListBullet"/>
      </w:pPr>
      <w:r>
        <w:rPr>
          <w:rFonts w:ascii="Arial" w:hAnsi="Arial" w:cs="Arial" w:eastAsia="Arial"/>
          <w:b/>
          <w:color w:val="000000"/>
          <w:sz w:val="20"/>
        </w:rPr>
        <w:t>Módulos específicos</w:t>
      </w:r>
      <w:r>
        <w:rPr>
          <w:rFonts w:ascii="Arial" w:hAnsi="Arial" w:cs="Arial" w:eastAsia="Arial"/>
          <w:b w:val="0"/>
          <w:color w:val="333333"/>
          <w:sz w:val="20"/>
        </w:rPr>
        <w:t>: Sales, Inventory, Accounting con plan AR. Patentamiento gestionado vía integración con DNRPA y la firma electrónica del registro automotor.</w:t>
      </w:r>
    </w:p>
    <w:p>
      <w:pPr>
        <w:pStyle w:val="ListBullet"/>
      </w:pPr>
      <w:r>
        <w:rPr>
          <w:rFonts w:ascii="Arial" w:hAnsi="Arial" w:cs="Arial" w:eastAsia="Arial"/>
          <w:b/>
          <w:color w:val="000000"/>
          <w:sz w:val="20"/>
        </w:rPr>
        <w:t>Servidor en sala técnica</w:t>
      </w:r>
      <w:r>
        <w:rPr>
          <w:rFonts w:ascii="Arial" w:hAnsi="Arial" w:cs="Arial" w:eastAsia="Arial"/>
          <w:b w:val="0"/>
          <w:color w:val="333333"/>
          <w:sz w:val="20"/>
        </w:rPr>
        <w:t xml:space="preserve"> del concesionario, Intel Xeon E-2336 con 32 GB RAM y SSD NVMe en RAID 1. Costo: USD 2.400 al cambio del 25 de abril.</w:t>
      </w:r>
    </w:p>
    <w:p>
      <w:pPr>
        <w:pStyle w:val="ListBullet"/>
      </w:pPr>
      <w:r>
        <w:rPr>
          <w:rFonts w:ascii="Arial" w:hAnsi="Arial" w:cs="Arial" w:eastAsia="Arial"/>
          <w:b/>
          <w:color w:val="000000"/>
          <w:sz w:val="20"/>
        </w:rPr>
        <w:t>Soporte interno con dos personas formadas</w:t>
      </w:r>
      <w:r>
        <w:rPr>
          <w:rFonts w:ascii="Arial" w:hAnsi="Arial" w:cs="Arial" w:eastAsia="Arial"/>
          <w:b w:val="0"/>
          <w:color w:val="333333"/>
          <w:sz w:val="20"/>
        </w:rPr>
        <w:t xml:space="preserve"> —Eduardo y un administrativo más joven—. Capacitación inicial, USD 1.800. La frase que define el cambio: cuando se traba el sistema un domingo, no llaman a nadie. Lo destraban ellos.</w:t>
      </w:r>
    </w:p>
    <w:p/>
    <w:p>
      <w:pPr>
        <w:spacing w:after="160"/>
      </w:pPr>
      <w:r>
        <w:rPr>
          <w:rFonts w:ascii="Arial" w:hAnsi="Arial" w:cs="Arial" w:eastAsia="Arial"/>
          <w:b w:val="0"/>
          <w:color w:val="333333"/>
          <w:sz w:val="22"/>
        </w:rPr>
        <w:t>Costo total del primer año, incluido servidor y formación: cerca de USD 8.700. Costo del año dos en adelante, alrededor de USD 1.200 (electricidad, antivirus, backup). El paquete cerrado anterior salía USD 11.040 anuales antes del upgrade.</w:t>
      </w:r>
    </w:p>
    <w:p/>
    <w:p>
      <w:pPr>
        <w:spacing w:after="160"/>
      </w:pPr>
      <w:r>
        <w:rPr>
          <w:rFonts w:ascii="Arial" w:hAnsi="Arial" w:cs="Arial" w:eastAsia="Arial"/>
          <w:b w:val="0"/>
          <w:color w:val="333333"/>
          <w:sz w:val="22"/>
        </w:rPr>
        <w:t>En ULTIMA MILLA hicimos una migración similar para un colegio profesional cuyano con 1.800 matriculados. La diferencia que más impactó al cliente no fue el costo: fue saber qué pasa cuando algo falla. Antes: llamar al proveedor y rogar. Después: abrir el log de Odoo, leer el error, resolverlo o agendarlo para el lunes con respaldo.</w:t>
      </w:r>
    </w:p>
    <w:p/>
    <w:p>
      <w:pPr>
        <w:spacing w:before="240" w:after="80"/>
        <w:pBdr>
          <w:bottom w:val="single" w:sz="6" w:space="2" w:color="DC2626"/>
        </w:pBdr>
      </w:pPr>
      <w:r>
        <w:rPr>
          <w:rFonts w:ascii="Poppins" w:hAnsi="Poppins" w:cs="Poppins" w:eastAsia="Poppins"/>
          <w:b/>
          <w:color w:val="000000"/>
          <w:sz w:val="24"/>
        </w:rPr>
        <w:t>TRES RIESGOS HONESTOS ANTES DE COPIAR ESTE MODELO</w:t>
      </w:r>
    </w:p>
    <w:p/>
    <w:p>
      <w:pPr>
        <w:spacing w:after="160"/>
      </w:pPr>
      <w:r>
        <w:rPr>
          <w:rFonts w:ascii="Arial" w:hAnsi="Arial" w:cs="Arial" w:eastAsia="Arial"/>
          <w:b w:val="0"/>
          <w:color w:val="333333"/>
          <w:sz w:val="22"/>
        </w:rPr>
        <w:t xml:space="preserve">Primero, </w:t>
      </w:r>
      <w:r>
        <w:rPr>
          <w:rFonts w:ascii="Arial" w:hAnsi="Arial" w:cs="Arial" w:eastAsia="Arial"/>
          <w:b/>
          <w:color w:val="000000"/>
          <w:sz w:val="22"/>
        </w:rPr>
        <w:t>la curva de aprendizaje</w:t>
      </w:r>
      <w:r>
        <w:rPr>
          <w:rFonts w:ascii="Arial" w:hAnsi="Arial" w:cs="Arial" w:eastAsia="Arial"/>
          <w:b w:val="0"/>
          <w:color w:val="333333"/>
          <w:sz w:val="22"/>
        </w:rPr>
        <w:t>: Odoo 18 con localización argentina es más exigente que un ERP cerrado tipo Tango o Bejerman. La concesionaria tiene que aceptar que los primeros sesenta días son turbulentos. Si el dueño no banca eso, mejor seguir pagando.</w:t>
      </w:r>
    </w:p>
    <w:p/>
    <w:p>
      <w:pPr>
        <w:spacing w:after="160"/>
      </w:pPr>
      <w:r>
        <w:rPr>
          <w:rFonts w:ascii="Arial" w:hAnsi="Arial" w:cs="Arial" w:eastAsia="Arial"/>
          <w:b w:val="0"/>
          <w:color w:val="333333"/>
          <w:sz w:val="22"/>
        </w:rPr>
        <w:t xml:space="preserve">Segundo, </w:t>
      </w:r>
      <w:r>
        <w:rPr>
          <w:rFonts w:ascii="Arial" w:hAnsi="Arial" w:cs="Arial" w:eastAsia="Arial"/>
          <w:b/>
          <w:color w:val="000000"/>
          <w:sz w:val="22"/>
        </w:rPr>
        <w:t>el partner local importa</w:t>
      </w:r>
      <w:r>
        <w:rPr>
          <w:rFonts w:ascii="Arial" w:hAnsi="Arial" w:cs="Arial" w:eastAsia="Arial"/>
          <w:b w:val="0"/>
          <w:color w:val="333333"/>
          <w:sz w:val="22"/>
        </w:rPr>
        <w:t>. Self-hosted no significa solitario. Hay que tener un contacto técnico identificado —puede ser interno o externo— que conozca la localización argentina y los cambios de RG ARCA. El que se duerme con el firmware del controlador fiscal pierde la próxima auditoría.</w:t>
      </w:r>
    </w:p>
    <w:p/>
    <w:p>
      <w:pPr>
        <w:spacing w:after="160"/>
      </w:pPr>
      <w:r>
        <w:rPr>
          <w:rFonts w:ascii="Arial" w:hAnsi="Arial" w:cs="Arial" w:eastAsia="Arial"/>
          <w:b w:val="0"/>
          <w:color w:val="333333"/>
          <w:sz w:val="22"/>
        </w:rPr>
        <w:t xml:space="preserve">Tercero, </w:t>
      </w:r>
      <w:r>
        <w:rPr>
          <w:rFonts w:ascii="Arial" w:hAnsi="Arial" w:cs="Arial" w:eastAsia="Arial"/>
          <w:b/>
          <w:color w:val="000000"/>
          <w:sz w:val="22"/>
        </w:rPr>
        <w:t>el respaldo no es opcional</w:t>
      </w:r>
      <w:r>
        <w:rPr>
          <w:rFonts w:ascii="Arial" w:hAnsi="Arial" w:cs="Arial" w:eastAsia="Arial"/>
          <w:b w:val="0"/>
          <w:color w:val="333333"/>
          <w:sz w:val="22"/>
        </w:rPr>
        <w:t>. Servidor on-premise sin backup off-site es ruleta rusa. Replicación a un VPS argentino con cifrado, USD 35 mensuales. Ese gasto no se discute.</w:t>
      </w:r>
    </w:p>
    <w:p/>
    <w:p>
      <w:pPr>
        <w:spacing w:after="160"/>
      </w:pPr>
      <w:r>
        <w:rPr>
          <w:rFonts w:ascii="Arial" w:hAnsi="Arial" w:cs="Arial" w:eastAsia="Arial"/>
          <w:b w:val="0"/>
          <w:color w:val="333333"/>
          <w:sz w:val="22"/>
        </w:rPr>
        <w:t>Eduardo todavía no firmó la migración. Pero ya tiene el presupuesto sobre el escritorio. La camioneta blanca espera en la playa de exposición.</w:t>
      </w:r>
    </w:p>
    <w:p/>
    <w:p>
      <w:r>
        <w:rPr>
          <w:rFonts w:ascii="Arial" w:hAnsi="Arial" w:cs="Arial" w:eastAsia="Arial"/>
          <w:b w:val="0"/>
          <w:i/>
          <w:color w:val="666666"/>
          <w:sz w:val="18"/>
        </w:rPr>
        <w:t>Nota: el caso es un compuesto anonimizado de situaciones reales en concesionarias cuyanas. Los nombres son ficticios; la dinámica, no.</w:t>
      </w:r>
    </w:p>
    <w:p/>
    <w:p>
      <w:pPr>
        <w:spacing w:before="240" w:after="80"/>
        <w:pBdr>
          <w:bottom w:val="single" w:sz="6" w:space="2" w:color="DC2626"/>
        </w:pBdr>
      </w:pPr>
      <w:r>
        <w:rPr>
          <w:rFonts w:ascii="Poppins" w:hAnsi="Poppins" w:cs="Poppins" w:eastAsia="Poppins"/>
          <w:b/>
          <w:color w:val="000000"/>
          <w:sz w:val="24"/>
        </w:rPr>
        <w:t>PARA SEGUIR LEYENDO</w:t>
      </w:r>
    </w:p>
    <w:p/>
    <w:p>
      <w:pPr>
        <w:pStyle w:val="ListBullet"/>
      </w:pPr>
      <w:r>
        <w:rPr>
          <w:rFonts w:ascii="Arial" w:hAnsi="Arial" w:cs="Arial" w:eastAsia="Arial"/>
          <w:b w:val="0"/>
          <w:color w:val="1A56C0"/>
          <w:sz w:val="20"/>
          <w:u w:val="single"/>
        </w:rPr>
        <w:t>Localización argentina de Odoo 18</w:t>
      </w:r>
    </w:p>
    <w:p>
      <w:pPr>
        <w:pStyle w:val="ListBullet"/>
      </w:pPr>
      <w:r>
        <w:rPr>
          <w:rFonts w:ascii="Arial" w:hAnsi="Arial" w:cs="Arial" w:eastAsia="Arial"/>
          <w:b w:val="0"/>
          <w:color w:val="1A56C0"/>
          <w:sz w:val="20"/>
          <w:u w:val="single"/>
        </w:rPr>
        <w:t>Estadísticas mensuales — ADEFA</w:t>
      </w:r>
    </w:p>
    <w:p>
      <w:pPr>
        <w:pStyle w:val="ListBullet"/>
      </w:pPr>
      <w:r>
        <w:rPr>
          <w:rFonts w:ascii="Arial" w:hAnsi="Arial" w:cs="Arial" w:eastAsia="Arial"/>
          <w:b w:val="0"/>
          <w:color w:val="1A56C0"/>
          <w:sz w:val="20"/>
          <w:u w:val="single"/>
        </w:rPr>
        <w:t>Microsección Factura Electrónica — ARCA/AFIP</w:t>
      </w:r>
    </w:p>
    <w:sectPr w:rsidR="00FC693F" w:rsidRPr="0006063C" w:rsidSect="00034616">
      <w:headerReference w:type="default" r:id="rId9"/>
      <w:footerReference w:type="default" r:id="rId10"/>
      <w:pgSz w:w="12240" w:h="15840"/>
      <w:pgMar w:top="1191" w:right="1134" w:bottom="136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00"/>
      </w:tabs>
    </w:pPr>
    <w:r>
      <w:rPr>
        <w:rFonts w:ascii="Poppins" w:hAnsi="Poppins" w:cs="Poppins" w:eastAsia="Poppins"/>
        <w:b/>
        <w:color w:val="DC2626"/>
        <w:sz w:val="18"/>
      </w:rPr>
      <w:t>www.ultimamilla.com.ar</w:t>
    </w:r>
    <w:r>
      <w:tab/>
    </w:r>
    <w:r>
      <w:rPr>
        <w:rFonts w:ascii="Arial" w:hAnsi="Arial" w:cs="Arial" w:eastAsia="Arial"/>
        <w:b w:val="0"/>
        <w:color w:val="666666"/>
        <w:sz w:val="16"/>
      </w:rPr>
      <w:t xml:space="preserve">2026-04-26 19:00 ART  —  Pág. </w:t>
    </w:r>
    <w:r>
      <w:rPr>
        <w:rFonts w:ascii="Arial" w:hAnsi="Arial" w:cs="Arial" w:eastAsia="Arial"/>
        <w:b w:val="0"/>
        <w:color w:val="666666"/>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DC2626"/>
      </w:pBdr>
      <w:tabs>
        <w:tab w:val="right" w:pos="9000"/>
      </w:tabs>
    </w:pPr>
    <w:r>
      <w:rPr>
        <w:rFonts w:ascii="Poppins" w:hAnsi="Poppins" w:cs="Poppins" w:eastAsia="Poppins"/>
        <w:b/>
        <w:color w:val="000000"/>
        <w:sz w:val="20"/>
      </w:rPr>
      <w:t>ultimamilla</w:t>
    </w:r>
    <w:r>
      <w:rPr>
        <w:rFonts w:ascii="Poppins" w:hAnsi="Poppins" w:cs="Poppins" w:eastAsia="Poppins"/>
        <w:b/>
        <w:color w:val="DC2626"/>
        <w:sz w:val="20"/>
      </w:rPr>
      <w:t>.</w:t>
    </w:r>
    <w:r>
      <w:rPr>
        <w:rFonts w:ascii="Poppins" w:hAnsi="Poppins" w:cs="Poppins" w:eastAsia="Poppins"/>
        <w:b/>
        <w:color w:val="000000"/>
        <w:sz w:val="20"/>
      </w:rPr>
      <w:t>com</w:t>
    </w:r>
    <w:r>
      <w:rPr>
        <w:rFonts w:ascii="Poppins" w:hAnsi="Poppins" w:cs="Poppins" w:eastAsia="Poppins"/>
        <w:b/>
        <w:color w:val="DC2626"/>
        <w:sz w:val="20"/>
      </w:rPr>
      <w:t>.</w:t>
    </w:r>
    <w:r>
      <w:rPr>
        <w:rFonts w:ascii="Poppins" w:hAnsi="Poppins" w:cs="Poppins" w:eastAsia="Poppins"/>
        <w:b/>
        <w:color w:val="000000"/>
        <w:sz w:val="20"/>
      </w:rPr>
      <w:t>ar</w:t>
    </w:r>
    <w:r>
      <w:rPr>
        <w:rFonts w:ascii="Arial" w:hAnsi="Arial" w:cs="Arial" w:eastAsia="Arial"/>
        <w:b w:val="0"/>
        <w:sz w:val="18"/>
      </w:rPr>
      <w:tab/>
    </w:r>
    <w:r>
      <w:rPr>
        <w:rFonts w:ascii="Arial" w:hAnsi="Arial" w:cs="Arial" w:eastAsia="Arial"/>
        <w:b w:val="0"/>
        <w:color w:val="666666"/>
        <w:sz w:val="18"/>
      </w:rPr>
      <w:t>BLOG · ID #57 · PROYECTOS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