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Poppins" w:hAnsi="Poppins"/>
          <w:b/>
          <w:color w:val="000000"/>
          <w:sz w:val="48"/>
        </w:rPr>
        <w:t>ultimamilla</w:t>
      </w:r>
      <w:r>
        <w:rPr>
          <w:rFonts w:ascii="Poppins" w:hAnsi="Poppins"/>
          <w:b/>
          <w:color w:val="DC2626"/>
          <w:sz w:val="48"/>
        </w:rPr>
        <w:t>.</w:t>
      </w:r>
      <w:r>
        <w:rPr>
          <w:rFonts w:ascii="Poppins" w:hAnsi="Poppins"/>
          <w:b/>
          <w:color w:val="000000"/>
          <w:sz w:val="48"/>
        </w:rPr>
        <w:t>com</w:t>
      </w:r>
      <w:r>
        <w:rPr>
          <w:rFonts w:ascii="Poppins" w:hAnsi="Poppins"/>
          <w:b/>
          <w:color w:val="DC2626"/>
          <w:sz w:val="48"/>
        </w:rPr>
        <w:t>.</w:t>
      </w:r>
      <w:r>
        <w:rPr>
          <w:rFonts w:ascii="Poppins" w:hAnsi="Poppins"/>
          <w:b/>
          <w:color w:val="000000"/>
          <w:sz w:val="48"/>
        </w:rPr>
        <w:t>ar</w:t>
      </w:r>
    </w:p>
    <w:p>
      <w:pPr>
        <w:pBdr>
          <w:bottom w:val="single" w:sz="24" w:space="1" w:color="DC2626"/>
        </w:pBdr>
      </w:pPr>
    </w:p>
    <w:p>
      <w:pPr>
        <w:spacing w:before="40"/>
      </w:pPr>
      <w:r>
        <w:rPr>
          <w:rFonts w:ascii="Arial" w:hAnsi="Arial"/>
          <w:b/>
          <w:color w:val="666666"/>
          <w:sz w:val="18"/>
        </w:rPr>
        <w:t>BLOG · TECNICO · 2026-04-30</w:t>
      </w:r>
    </w:p>
    <w:p>
      <w:pPr>
        <w:spacing w:before="120" w:after="80"/>
      </w:pPr>
      <w:r>
        <w:rPr>
          <w:rFonts w:ascii="Poppins" w:hAnsi="Poppins"/>
          <w:b/>
          <w:color w:val="000000"/>
          <w:sz w:val="44"/>
        </w:rPr>
        <w:t>n8n en pymes: la arquitectura que saca a Zapier de la factura</w:t>
      </w:r>
    </w:p>
    <w:p>
      <w:pPr>
        <w:spacing w:after="200"/>
      </w:pPr>
      <w:r>
        <w:rPr>
          <w:rFonts w:ascii="Arial" w:hAnsi="Arial"/>
          <w:i/>
          <w:color w:val="333333"/>
          <w:sz w:val="22"/>
        </w:rPr>
        <w:t>Cómo una pyme mendocina descubre que su factura de Zapier pesa más que su hosting y qué arquitectura concreta con n8n, Docker y Postgres le devuelve el control.</w:t>
      </w:r>
    </w:p>
    <w:tbl>
      <w:tblPr>
        <w:tblW w:type="auto" w:w="0"/>
        <w:tblLayout w:type="fixed"/>
        <w:tblLook w:firstColumn="1" w:firstRow="1" w:lastColumn="0" w:lastRow="0" w:noHBand="0" w:noVBand="1" w:val="04A0"/>
      </w:tblPr>
      <w:tblGrid>
        <w:gridCol w:w="2268"/>
        <w:gridCol w:w="2268"/>
        <w:gridCol w:w="2268"/>
        <w:gridCol w:w="2268"/>
      </w:tblGrid>
      <w:tr>
        <w:tc>
          <w:tcPr>
            <w:tcW w:type="dxa" w:w="2268"/>
            <w:tcBorders>
              <w:top w:val="single" w:sz="4" w:color="DDDDDD"/>
              <w:left w:val="single" w:sz="4" w:color="DDDDDD"/>
              <w:bottom w:val="single" w:sz="4" w:color="DDDDDD"/>
              <w:right w:val="single" w:sz="4" w:color="DDDDDD"/>
            </w:tcBorders>
          </w:tcPr>
          <w:p>
            <w:r/>
            <w:r>
              <w:rPr>
                <w:rFonts w:ascii="Arial" w:hAnsi="Arial"/>
                <w:b/>
                <w:color w:val="666666"/>
                <w:sz w:val="14"/>
              </w:rPr>
              <w:t>SLUG</w:t>
            </w:r>
          </w:p>
        </w:tc>
        <w:tc>
          <w:tcPr>
            <w:tcW w:type="dxa" w:w="2268"/>
            <w:tcBorders>
              <w:top w:val="single" w:sz="4" w:color="DDDDDD"/>
              <w:left w:val="single" w:sz="4" w:color="DDDDDD"/>
              <w:bottom w:val="single" w:sz="4" w:color="DDDDDD"/>
              <w:right w:val="single" w:sz="4" w:color="DDDDDD"/>
            </w:tcBorders>
          </w:tcPr>
          <w:p>
            <w:r/>
            <w:r>
              <w:rPr>
                <w:rFonts w:ascii="Arial" w:hAnsi="Arial"/>
                <w:b/>
                <w:color w:val="000000"/>
                <w:sz w:val="18"/>
              </w:rPr>
              <w:t>n8n-en-pymes-la-arquitectura-que-saca-a-zapier-de-la-factura</w:t>
            </w:r>
          </w:p>
        </w:tc>
        <w:tc>
          <w:tcPr>
            <w:tcW w:type="dxa" w:w="2268"/>
            <w:tcBorders>
              <w:top w:val="single" w:sz="4" w:color="DDDDDD"/>
              <w:left w:val="single" w:sz="4" w:color="DDDDDD"/>
              <w:bottom w:val="single" w:sz="4" w:color="DDDDDD"/>
              <w:right w:val="single" w:sz="4" w:color="DDDDDD"/>
            </w:tcBorders>
          </w:tcPr>
          <w:p>
            <w:r/>
            <w:r>
              <w:rPr>
                <w:rFonts w:ascii="Arial" w:hAnsi="Arial"/>
                <w:b/>
                <w:color w:val="666666"/>
                <w:sz w:val="14"/>
              </w:rPr>
              <w:t>TIEMPO LECTURA</w:t>
            </w:r>
          </w:p>
        </w:tc>
        <w:tc>
          <w:tcPr>
            <w:tcW w:type="dxa" w:w="2268"/>
            <w:tcBorders>
              <w:top w:val="single" w:sz="4" w:color="DDDDDD"/>
              <w:left w:val="single" w:sz="4" w:color="DDDDDD"/>
              <w:bottom w:val="single" w:sz="4" w:color="DDDDDD"/>
              <w:right w:val="single" w:sz="4" w:color="DDDDDD"/>
            </w:tcBorders>
          </w:tcPr>
          <w:p>
            <w:r/>
            <w:r>
              <w:rPr>
                <w:rFonts w:ascii="Arial" w:hAnsi="Arial"/>
                <w:b/>
                <w:color w:val="000000"/>
                <w:sz w:val="18"/>
              </w:rPr>
              <w:t>4 min</w:t>
            </w:r>
          </w:p>
        </w:tc>
      </w:tr>
      <w:tr>
        <w:tc>
          <w:tcPr>
            <w:tcW w:type="dxa" w:w="2268"/>
            <w:tcBorders>
              <w:top w:val="single" w:sz="4" w:color="DDDDDD"/>
              <w:left w:val="single" w:sz="4" w:color="DDDDDD"/>
              <w:bottom w:val="single" w:sz="4" w:color="DDDDDD"/>
              <w:right w:val="single" w:sz="4" w:color="DDDDDD"/>
            </w:tcBorders>
          </w:tcPr>
          <w:p>
            <w:r/>
            <w:r>
              <w:rPr>
                <w:rFonts w:ascii="Arial" w:hAnsi="Arial"/>
                <w:b/>
                <w:color w:val="666666"/>
                <w:sz w:val="14"/>
              </w:rPr>
              <w:t>TAGS</w:t>
            </w:r>
          </w:p>
        </w:tc>
        <w:tc>
          <w:tcPr>
            <w:tcW w:type="dxa" w:w="2268"/>
            <w:tcBorders>
              <w:top w:val="single" w:sz="4" w:color="DDDDDD"/>
              <w:left w:val="single" w:sz="4" w:color="DDDDDD"/>
              <w:bottom w:val="single" w:sz="4" w:color="DDDDDD"/>
              <w:right w:val="single" w:sz="4" w:color="DDDDDD"/>
            </w:tcBorders>
          </w:tcPr>
          <w:p>
            <w:r/>
            <w:r>
              <w:rPr>
                <w:rFonts w:ascii="Arial" w:hAnsi="Arial"/>
                <w:b/>
                <w:color w:val="000000"/>
                <w:sz w:val="18"/>
              </w:rPr>
              <w:t>n8n, automatizacion, pymes-ar, docker, self-hosted</w:t>
            </w:r>
          </w:p>
        </w:tc>
        <w:tc>
          <w:tcPr>
            <w:tcW w:type="dxa" w:w="2268"/>
            <w:tcBorders>
              <w:top w:val="single" w:sz="4" w:color="DDDDDD"/>
              <w:left w:val="single" w:sz="4" w:color="DDDDDD"/>
              <w:bottom w:val="single" w:sz="4" w:color="DDDDDD"/>
              <w:right w:val="single" w:sz="4" w:color="DDDDDD"/>
            </w:tcBorders>
          </w:tcPr>
          <w:p>
            <w:r/>
            <w:r>
              <w:rPr>
                <w:rFonts w:ascii="Arial" w:hAnsi="Arial"/>
                <w:b/>
                <w:color w:val="666666"/>
                <w:sz w:val="14"/>
              </w:rPr>
              <w:t>META TITLE</w:t>
            </w:r>
          </w:p>
        </w:tc>
        <w:tc>
          <w:tcPr>
            <w:tcW w:type="dxa" w:w="2268"/>
            <w:tcBorders>
              <w:top w:val="single" w:sz="4" w:color="DDDDDD"/>
              <w:left w:val="single" w:sz="4" w:color="DDDDDD"/>
              <w:bottom w:val="single" w:sz="4" w:color="DDDDDD"/>
              <w:right w:val="single" w:sz="4" w:color="DDDDDD"/>
            </w:tcBorders>
          </w:tcPr>
          <w:p>
            <w:r/>
            <w:r>
              <w:rPr>
                <w:rFonts w:ascii="Arial" w:hAnsi="Arial"/>
                <w:b/>
                <w:color w:val="000000"/>
                <w:sz w:val="18"/>
              </w:rPr>
              <w:t>n8n autoalojado en pymes: la arquitectura 2026</w:t>
            </w:r>
          </w:p>
        </w:tc>
      </w:tr>
    </w:tbl>
    <w:p/>
    <w:p>
      <w:pPr>
        <w:spacing w:after="160"/>
      </w:pPr>
      <w:r>
        <w:rPr>
          <w:rFonts w:ascii="Arial" w:hAnsi="Arial"/>
          <w:b w:val="0"/>
          <w:i w:val="0"/>
          <w:color w:val="333333"/>
          <w:sz w:val="22"/>
        </w:rPr>
        <w:t>Cuando Lucía, IT manager de una consultora de ingeniería en Godoy Cruz con 34 empleados, abrió la última factura de Zapier del trimestre, la cifra en dólares era más alta que el costo mensual del hosting de toda la empresa. Marketing había armado cuatro zaps sin avisar: lead del formulario web, sync al CRM, aviso por WhatsApp, fila en la hoja de cálculo. Cuatro pasos por cada uno de los 4.500 leads del último mes. Hizo cuentas: 18.000 tasks mensuales, lejos del plan Professional de 750 tasks a USD 19,99, y cerca del escalón Team de USD 69. Multiplicado por los tres zaps que marketing todavía no le había contado, el asunto pasó de molestia a reunión con finanzas.</w:t>
      </w:r>
    </w:p>
    <w:tbl>
      <w:tblPr>
        <w:tblW w:type="auto" w:w="0"/>
        <w:tblLayout w:type="fixed"/>
        <w:tblLook w:firstColumn="1" w:firstRow="1" w:lastColumn="0" w:lastRow="0" w:noHBand="0" w:noVBand="1" w:val="04A0"/>
      </w:tblPr>
      <w:tblGrid>
        <w:gridCol w:w="567"/>
        <w:gridCol w:w="8220"/>
      </w:tblGrid>
      <w:tr>
        <w:tc>
          <w:tcPr>
            <w:tcW w:type="dxa" w:w="567"/>
            <w:shd w:val="clear" w:color="auto" w:fill="1A56C0"/>
            <w:vAlign w:val="center"/>
            <w:tcBorders>
              <w:bottom w:val="single" w:sz="6" w:color="DC2626"/>
            </w:tcBorders>
          </w:tcPr>
          <w:p>
            <w:pPr>
              <w:jc w:val="center"/>
            </w:pPr>
            <w:r>
              <w:rPr>
                <w:rFonts w:ascii="Poppins" w:hAnsi="Poppins"/>
                <w:b/>
                <w:color w:val="FFFFFF"/>
                <w:sz w:val="24"/>
              </w:rPr>
              <w:t>1</w:t>
            </w:r>
          </w:p>
        </w:tc>
        <w:tc>
          <w:tcPr>
            <w:tcW w:type="dxa" w:w="8220"/>
            <w:shd w:val="clear" w:color="auto" w:fill="F5F5F5"/>
            <w:vAlign w:val="center"/>
            <w:tcBorders>
              <w:bottom w:val="single" w:sz="6" w:color="DC2626"/>
            </w:tcBorders>
          </w:tcPr>
          <w:p>
            <w:r>
              <w:rPr>
                <w:rFonts w:ascii="Poppins" w:hAnsi="Poppins"/>
                <w:b/>
                <w:color w:val="000000"/>
                <w:sz w:val="24"/>
              </w:rPr>
              <w:t>EL MODELO DE PRECIOS QUE NO SE MIRA HASTA QUE DUELE</w:t>
            </w:r>
          </w:p>
        </w:tc>
      </w:tr>
    </w:tbl>
    <w:p>
      <w:pPr>
        <w:spacing w:after="40"/>
      </w:pPr>
    </w:p>
    <w:p>
      <w:pPr>
        <w:spacing w:after="160"/>
      </w:pPr>
      <w:r>
        <w:rPr>
          <w:rFonts w:ascii="Arial" w:hAnsi="Arial"/>
          <w:color w:val="333333"/>
          <w:sz w:val="22"/>
        </w:rPr>
        <w:t xml:space="preserve">Zapier factura por "task": cada acción dentro de un zap cuenta como una unidad. Un flujo de cuatro pasos ejecutado 10.000 veces al mes puede superar los USD 500 en facturación mensual, según </w:t>
      </w:r>
      <w:r>
        <w:rPr>
          <w:rFonts w:ascii="Arial" w:hAnsi="Arial"/>
          <w:color w:val="1A56C0"/>
          <w:sz w:val="22"/>
          <w:u w:val="single"/>
        </w:rPr>
        <w:t>comparativas públicas de 2026</w:t>
      </w:r>
      <w:r>
        <w:rPr>
          <w:rFonts w:ascii="Arial" w:hAnsi="Arial"/>
          <w:color w:val="333333"/>
          <w:sz w:val="22"/>
        </w:rPr>
        <w:t xml:space="preserve">. </w:t>
      </w:r>
      <w:r>
        <w:rPr>
          <w:rFonts w:ascii="Arial" w:hAnsi="Arial"/>
          <w:color w:val="1A56C0"/>
          <w:sz w:val="22"/>
          <w:u w:val="single"/>
        </w:rPr>
        <w:t>Make</w:t>
      </w:r>
      <w:r>
        <w:rPr>
          <w:rFonts w:ascii="Arial" w:hAnsi="Arial"/>
          <w:color w:val="333333"/>
          <w:sz w:val="22"/>
        </w:rPr>
        <w:t xml:space="preserve"> es más generosa — 10.000 operations por USD 9 al mes — pero sigue contando por acción y sigue alojando los datos fuera del país.</w:t>
      </w:r>
    </w:p>
    <w:p>
      <w:pPr>
        <w:spacing w:after="160"/>
      </w:pPr>
      <w:r>
        <w:rPr>
          <w:rFonts w:ascii="Arial" w:hAnsi="Arial"/>
          <w:color w:val="333333"/>
          <w:sz w:val="22"/>
        </w:rPr>
        <w:t xml:space="preserve">n8n, en cambio, factura por </w:t>
      </w:r>
      <w:r>
        <w:rPr>
          <w:rFonts w:ascii="Arial" w:hAnsi="Arial"/>
          <w:i/>
          <w:color w:val="333333"/>
          <w:sz w:val="22"/>
        </w:rPr>
        <w:t>workflow execution</w:t>
      </w:r>
      <w:r>
        <w:rPr>
          <w:rFonts w:ascii="Arial" w:hAnsi="Arial"/>
          <w:color w:val="333333"/>
          <w:sz w:val="22"/>
        </w:rPr>
        <w:t xml:space="preserve">: una corrida entera del flujo, sin importar cuántos nodos tenga. Y la </w:t>
      </w:r>
      <w:r>
        <w:rPr>
          <w:rFonts w:ascii="Arial" w:hAnsi="Arial"/>
          <w:color w:val="1A56C0"/>
          <w:sz w:val="22"/>
          <w:u w:val="single"/>
        </w:rPr>
        <w:t>edición Community</w:t>
      </w:r>
      <w:r>
        <w:rPr>
          <w:rFonts w:ascii="Arial" w:hAnsi="Arial"/>
          <w:color w:val="333333"/>
          <w:sz w:val="22"/>
        </w:rPr>
        <w:t xml:space="preserve"> es fair-code, autoalojable y sin techo de ejecuciones. En </w:t>
      </w:r>
      <w:r>
        <w:rPr>
          <w:rFonts w:ascii="Arial" w:hAnsi="Arial"/>
          <w:color w:val="1A56C0"/>
          <w:sz w:val="22"/>
          <w:u w:val="single"/>
        </w:rPr>
        <w:t>abril de 2026, n8n eliminó el límite de workflows activos</w:t>
      </w:r>
      <w:r>
        <w:rPr>
          <w:rFonts w:ascii="Arial" w:hAnsi="Arial"/>
          <w:color w:val="333333"/>
          <w:sz w:val="22"/>
        </w:rPr>
        <w:t xml:space="preserve"> en todos los planes cloud, pero el dato que importa para una pyme es otro: la edición Community sigue siendo gratuita y corre en cualquier VPS. La misma factura de Lucía, con el mismo volumen, cae a cero en concepto de ejecuciones. Solo queda pagar el servidor donde corre.</w:t>
      </w:r>
    </w:p>
    <w:tbl>
      <w:tblPr>
        <w:tblW w:type="auto" w:w="0"/>
        <w:tblLayout w:type="fixed"/>
        <w:tblLook w:firstColumn="1" w:firstRow="1" w:lastColumn="0" w:lastRow="0" w:noHBand="0" w:noVBand="1" w:val="04A0"/>
      </w:tblPr>
      <w:tblGrid>
        <w:gridCol w:w="567"/>
        <w:gridCol w:w="8220"/>
      </w:tblGrid>
      <w:tr>
        <w:tc>
          <w:tcPr>
            <w:tcW w:type="dxa" w:w="567"/>
            <w:shd w:val="clear" w:color="auto" w:fill="1A56C0"/>
            <w:vAlign w:val="center"/>
            <w:tcBorders>
              <w:bottom w:val="single" w:sz="6" w:color="DC2626"/>
            </w:tcBorders>
          </w:tcPr>
          <w:p>
            <w:pPr>
              <w:jc w:val="center"/>
            </w:pPr>
            <w:r>
              <w:rPr>
                <w:rFonts w:ascii="Poppins" w:hAnsi="Poppins"/>
                <w:b/>
                <w:color w:val="FFFFFF"/>
                <w:sz w:val="24"/>
              </w:rPr>
              <w:t>2</w:t>
            </w:r>
          </w:p>
        </w:tc>
        <w:tc>
          <w:tcPr>
            <w:tcW w:type="dxa" w:w="8220"/>
            <w:shd w:val="clear" w:color="auto" w:fill="F5F5F5"/>
            <w:vAlign w:val="center"/>
            <w:tcBorders>
              <w:bottom w:val="single" w:sz="6" w:color="DC2626"/>
            </w:tcBorders>
          </w:tcPr>
          <w:p>
            <w:r>
              <w:rPr>
                <w:rFonts w:ascii="Poppins" w:hAnsi="Poppins"/>
                <w:b/>
                <w:color w:val="000000"/>
                <w:sz w:val="24"/>
              </w:rPr>
              <w:t>POR QUÉ "MIGRAR A OTRA NUBE" NO ERA LA RESPUESTA</w:t>
            </w:r>
          </w:p>
        </w:tc>
      </w:tr>
    </w:tbl>
    <w:p>
      <w:pPr>
        <w:spacing w:after="40"/>
      </w:pPr>
    </w:p>
    <w:p>
      <w:pPr>
        <w:spacing w:after="160"/>
      </w:pPr>
      <w:r>
        <w:rPr>
          <w:rFonts w:ascii="Arial" w:hAnsi="Arial"/>
          <w:color w:val="333333"/>
          <w:sz w:val="22"/>
        </w:rPr>
        <w:t xml:space="preserve">El reflejo habitual es mudar a Make, firmar otro contrato, redibujar los flujos y llamar al tema resuelto. Pero el problema real de Lucía no era el proveedor: era no tener el control de dónde corren los workflows cuando los datos incluyen legajos de clientes, direcciones y CUITs. La Ley 25.326 de Protección de Datos Personales </w:t>
      </w:r>
      <w:r>
        <w:rPr>
          <w:rFonts w:ascii="Arial" w:hAnsi="Arial"/>
          <w:color w:val="1A56C0"/>
          <w:sz w:val="22"/>
          <w:u w:val="single"/>
        </w:rPr>
        <w:t>cumple 25 años este 2026 y está en debate de reforma</w:t>
      </w:r>
      <w:r>
        <w:rPr>
          <w:rFonts w:ascii="Arial" w:hAnsi="Arial"/>
          <w:color w:val="333333"/>
          <w:sz w:val="22"/>
        </w:rPr>
        <w:t xml:space="preserve">, con </w:t>
      </w:r>
      <w:r>
        <w:rPr>
          <w:rFonts w:ascii="Arial" w:hAnsi="Arial"/>
          <w:color w:val="1A56C0"/>
          <w:sz w:val="22"/>
          <w:u w:val="single"/>
        </w:rPr>
        <w:t>proyectos</w:t>
      </w:r>
      <w:r>
        <w:rPr>
          <w:rFonts w:ascii="Arial" w:hAnsi="Arial"/>
          <w:color w:val="333333"/>
          <w:sz w:val="22"/>
        </w:rPr>
        <w:t xml:space="preserve"> que apuntan a armonizar con el RGPD europeo e incorporar responsabilidad proactiva y privacy by design. Cuando un flujo de automatización pasa datos personales por tres servidores en otra jurisdicción, la pregunta deja de ser cuánto cuesta y pasa a ser dónde queda la custodia el día que alguien la reclama.</w:t>
      </w:r>
    </w:p>
    <w:tbl>
      <w:tblPr>
        <w:tblW w:type="auto" w:w="0"/>
        <w:tblLayout w:type="fixed"/>
        <w:tblLook w:firstColumn="1" w:firstRow="1" w:lastColumn="0" w:lastRow="0" w:noHBand="0" w:noVBand="1" w:val="04A0"/>
      </w:tblPr>
      <w:tblGrid>
        <w:gridCol w:w="567"/>
        <w:gridCol w:w="8220"/>
      </w:tblGrid>
      <w:tr>
        <w:tc>
          <w:tcPr>
            <w:tcW w:type="dxa" w:w="567"/>
            <w:shd w:val="clear" w:color="auto" w:fill="1A56C0"/>
            <w:vAlign w:val="center"/>
            <w:tcBorders>
              <w:bottom w:val="single" w:sz="6" w:color="DC2626"/>
            </w:tcBorders>
          </w:tcPr>
          <w:p>
            <w:pPr>
              <w:jc w:val="center"/>
            </w:pPr>
            <w:r>
              <w:rPr>
                <w:rFonts w:ascii="Poppins" w:hAnsi="Poppins"/>
                <w:b/>
                <w:color w:val="FFFFFF"/>
                <w:sz w:val="24"/>
              </w:rPr>
              <w:t>3</w:t>
            </w:r>
          </w:p>
        </w:tc>
        <w:tc>
          <w:tcPr>
            <w:tcW w:type="dxa" w:w="8220"/>
            <w:shd w:val="clear" w:color="auto" w:fill="F5F5F5"/>
            <w:vAlign w:val="center"/>
            <w:tcBorders>
              <w:bottom w:val="single" w:sz="6" w:color="DC2626"/>
            </w:tcBorders>
          </w:tcPr>
          <w:p>
            <w:r>
              <w:rPr>
                <w:rFonts w:ascii="Poppins" w:hAnsi="Poppins"/>
                <w:b/>
                <w:color w:val="000000"/>
                <w:sz w:val="24"/>
              </w:rPr>
              <w:t>LA PILA QUE UNA PYME PUEDE LEVANTAR EN UNA TARDE</w:t>
            </w:r>
          </w:p>
        </w:tc>
      </w:tr>
    </w:tbl>
    <w:p>
      <w:pPr>
        <w:spacing w:after="40"/>
      </w:pPr>
    </w:p>
    <w:p>
      <w:pPr>
        <w:spacing w:after="160"/>
      </w:pPr>
      <w:r>
        <w:rPr>
          <w:rFonts w:ascii="Arial" w:hAnsi="Arial"/>
          <w:color w:val="333333"/>
          <w:sz w:val="22"/>
        </w:rPr>
        <w:t xml:space="preserve">n8n autoalojado necesita tres piezas: un VPS modesto (2 vCPU, 4 GB de RAM alcanzan para cargas de pyme), Docker Compose con el contenedor oficial, y Postgres como base de datos — SQLite va para laboratorio, no para producción. El </w:t>
      </w:r>
      <w:r>
        <w:rPr>
          <w:rFonts w:ascii="Arial" w:hAnsi="Arial"/>
          <w:color w:val="1A56C0"/>
          <w:sz w:val="22"/>
          <w:u w:val="single"/>
        </w:rPr>
        <w:t>stack que se viene imponiendo en LATAM</w:t>
      </w:r>
      <w:r>
        <w:rPr>
          <w:rFonts w:ascii="Arial" w:hAnsi="Arial"/>
          <w:color w:val="333333"/>
          <w:sz w:val="22"/>
        </w:rPr>
        <w:t xml:space="preserve"> suma NocoDB como capa tabular cuando hace falta reemplazar Airtable, y Ollama cuando el workflow necesita un LLM sin mandar datos a un tercero. El costo total de infraestructura suele quedar por debajo de los USD 20 mensuales.</w:t>
      </w:r>
    </w:p>
    <w:p>
      <w:pPr>
        <w:spacing w:after="160"/>
      </w:pPr>
      <w:r>
        <w:rPr>
          <w:rFonts w:ascii="Arial" w:hAnsi="Arial"/>
          <w:color w:val="333333"/>
          <w:sz w:val="22"/>
        </w:rPr>
        <w:t>En nuestra experiencia integrando backoffice para pymes y organizaciones del Gran Mendoza — desde trazabilidad de residuos hasta integraciones con AFIP para un colegio profesional — la parte que más sorprende a los gerentes no es el ahorro en la factura. Es que los workflows quedan en un repositorio git propio, versionados como cualquier otro código. Cuando el empleado que armó el flujo renuncia, el conocimiento no se va con él. Y cuando auditoría pregunta qué hace el proceso "enviar factura a contaduría", hay un diff con fecha y autor.</w:t>
      </w:r>
    </w:p>
    <w:tbl>
      <w:tblPr>
        <w:tblW w:type="auto" w:w="0"/>
        <w:tblLayout w:type="fixed"/>
        <w:tblLook w:firstColumn="1" w:firstRow="1" w:lastColumn="0" w:lastRow="0" w:noHBand="0" w:noVBand="1" w:val="04A0"/>
      </w:tblPr>
      <w:tblGrid>
        <w:gridCol w:w="567"/>
        <w:gridCol w:w="8220"/>
      </w:tblGrid>
      <w:tr>
        <w:tc>
          <w:tcPr>
            <w:tcW w:type="dxa" w:w="567"/>
            <w:shd w:val="clear" w:color="auto" w:fill="1A56C0"/>
            <w:vAlign w:val="center"/>
            <w:tcBorders>
              <w:bottom w:val="single" w:sz="6" w:color="DC2626"/>
            </w:tcBorders>
          </w:tcPr>
          <w:p>
            <w:pPr>
              <w:jc w:val="center"/>
            </w:pPr>
            <w:r>
              <w:rPr>
                <w:rFonts w:ascii="Poppins" w:hAnsi="Poppins"/>
                <w:b/>
                <w:color w:val="FFFFFF"/>
                <w:sz w:val="24"/>
              </w:rPr>
              <w:t>4</w:t>
            </w:r>
          </w:p>
        </w:tc>
        <w:tc>
          <w:tcPr>
            <w:tcW w:type="dxa" w:w="8220"/>
            <w:shd w:val="clear" w:color="auto" w:fill="F5F5F5"/>
            <w:vAlign w:val="center"/>
            <w:tcBorders>
              <w:bottom w:val="single" w:sz="6" w:color="DC2626"/>
            </w:tcBorders>
          </w:tcPr>
          <w:p>
            <w:r>
              <w:rPr>
                <w:rFonts w:ascii="Poppins" w:hAnsi="Poppins"/>
                <w:b/>
                <w:color w:val="000000"/>
                <w:sz w:val="24"/>
              </w:rPr>
              <w:t>LOS TRES "SÍ, PERO" QUE HAY QUE MIRAR ANTES DE COPIARLO</w:t>
            </w:r>
          </w:p>
        </w:tc>
      </w:tr>
    </w:tbl>
    <w:p>
      <w:pPr>
        <w:spacing w:after="40"/>
      </w:pPr>
    </w:p>
    <w:p>
      <w:pPr>
        <w:spacing w:after="160"/>
      </w:pPr>
      <w:r>
        <w:rPr>
          <w:rFonts w:ascii="Arial" w:hAnsi="Arial"/>
          <w:color w:val="333333"/>
          <w:sz w:val="22"/>
        </w:rPr>
        <w:t>Primero, el tiempo del equipo. n8n autoalojado tiene UI visual, pero la configuración inicial — TLS, backups, monitoreo, rotación de secretos — pide un perfil ops. Si la pyme no lo tiene in-house y no quiere tercerizarlo, el plan cloud Starter (EUR 24 al mes, 2.500 ejecuciones) resuelve el 80 % de los casos sin ventanilla de servidor.</w:t>
      </w:r>
    </w:p>
    <w:p>
      <w:pPr>
        <w:spacing w:after="160"/>
      </w:pPr>
      <w:r>
        <w:rPr>
          <w:rFonts w:ascii="Arial" w:hAnsi="Arial"/>
          <w:color w:val="333333"/>
          <w:sz w:val="22"/>
        </w:rPr>
        <w:t xml:space="preserve">Segundo, las integraciones con nodos propietarios. n8n ofrece más de </w:t>
      </w:r>
      <w:r>
        <w:rPr>
          <w:rFonts w:ascii="Arial" w:hAnsi="Arial"/>
          <w:color w:val="1A56C0"/>
          <w:sz w:val="22"/>
          <w:u w:val="single"/>
        </w:rPr>
        <w:t>400 integraciones nativas</w:t>
      </w:r>
      <w:r>
        <w:rPr>
          <w:rFonts w:ascii="Arial" w:hAnsi="Arial"/>
          <w:color w:val="333333"/>
          <w:sz w:val="22"/>
        </w:rPr>
        <w:t>, pero algunos conectores de nicho siguen siendo más maduros en Zapier. Conviene listar los zaps actuales y marcar cuáles usan APIs públicas — reemplazo directo — y cuáles dependen de conectores cerrados, donde el trabajo es real.</w:t>
      </w:r>
    </w:p>
    <w:p>
      <w:pPr>
        <w:spacing w:after="160"/>
      </w:pPr>
      <w:r>
        <w:rPr>
          <w:rFonts w:ascii="Arial" w:hAnsi="Arial"/>
          <w:color w:val="333333"/>
          <w:sz w:val="22"/>
        </w:rPr>
        <w:t>Tercero, la observabilidad. Una pyme que mueve facturación electrónica por el workflow no puede permitirse que un error falle en silencio. n8n tiene logs y error workflows, pero hay que configurarlos: no vienen gritando solos. Si el equipo no está dispuesto a mirar un dashboard todos los lunes, mejor quedarse en la nube de alguien y pagar el premium por el soporte.</w:t>
      </w:r>
    </w:p>
    <w:p>
      <w:pPr>
        <w:spacing w:after="160"/>
      </w:pPr>
      <w:r>
        <w:rPr>
          <w:rFonts w:ascii="Arial" w:hAnsi="Arial"/>
          <w:color w:val="333333"/>
          <w:sz w:val="22"/>
        </w:rPr>
        <w:t>La pregunta que le quedó a Lucía no era si n8n le ahorraba plata. Era otra, más incómoda: cuántos procesos críticos de la empresa estaban corriendo, en ese momento, en infraestructura que ella no podía apagar.</w:t>
      </w:r>
    </w:p>
    <w:tbl>
      <w:tblPr>
        <w:tblW w:type="auto" w:w="0"/>
        <w:tblLayout w:type="fixed"/>
        <w:tblLook w:firstColumn="1" w:firstRow="1" w:lastColumn="0" w:lastRow="0" w:noHBand="0" w:noVBand="1" w:val="04A0"/>
      </w:tblPr>
      <w:tblGrid>
        <w:gridCol w:w="567"/>
        <w:gridCol w:w="8220"/>
      </w:tblGrid>
      <w:tr>
        <w:tc>
          <w:tcPr>
            <w:tcW w:type="dxa" w:w="567"/>
            <w:shd w:val="clear" w:color="auto" w:fill="1A56C0"/>
            <w:vAlign w:val="center"/>
            <w:tcBorders>
              <w:bottom w:val="single" w:sz="6" w:color="DC2626"/>
            </w:tcBorders>
          </w:tcPr>
          <w:p>
            <w:pPr>
              <w:jc w:val="center"/>
            </w:pPr>
            <w:r>
              <w:rPr>
                <w:rFonts w:ascii="Poppins" w:hAnsi="Poppins"/>
                <w:b/>
                <w:color w:val="FFFFFF"/>
                <w:sz w:val="24"/>
              </w:rPr>
              <w:t>5</w:t>
            </w:r>
          </w:p>
        </w:tc>
        <w:tc>
          <w:tcPr>
            <w:tcW w:type="dxa" w:w="8220"/>
            <w:shd w:val="clear" w:color="auto" w:fill="F5F5F5"/>
            <w:vAlign w:val="center"/>
            <w:tcBorders>
              <w:bottom w:val="single" w:sz="6" w:color="DC2626"/>
            </w:tcBorders>
          </w:tcPr>
          <w:p>
            <w:r>
              <w:rPr>
                <w:rFonts w:ascii="Poppins" w:hAnsi="Poppins"/>
                <w:b/>
                <w:color w:val="000000"/>
                <w:sz w:val="24"/>
              </w:rPr>
              <w:t>PARA SEGUIR LEYENDO</w:t>
            </w:r>
          </w:p>
        </w:tc>
      </w:tr>
    </w:tbl>
    <w:p>
      <w:pPr>
        <w:spacing w:after="40"/>
      </w:pPr>
    </w:p>
    <w:p>
      <w:pPr>
        <w:spacing w:after="160"/>
      </w:pPr>
      <w:r>
        <w:rPr>
          <w:rFonts w:ascii="Arial" w:hAnsi="Arial"/>
          <w:color w:val="333333"/>
          <w:sz w:val="22"/>
        </w:rPr>
        <w:t xml:space="preserve">• </w:t>
      </w:r>
      <w:r>
        <w:rPr>
          <w:rFonts w:ascii="Arial" w:hAnsi="Arial"/>
          <w:color w:val="1A56C0"/>
          <w:sz w:val="22"/>
          <w:u w:val="single"/>
        </w:rPr>
        <w:t>n8n — Pricing 2026 oficial</w:t>
      </w:r>
    </w:p>
    <w:p>
      <w:pPr>
        <w:spacing w:after="160"/>
      </w:pPr>
      <w:r>
        <w:rPr>
          <w:rFonts w:ascii="Arial" w:hAnsi="Arial"/>
          <w:color w:val="333333"/>
          <w:sz w:val="22"/>
        </w:rPr>
        <w:t xml:space="preserve">• </w:t>
      </w:r>
      <w:r>
        <w:rPr>
          <w:rFonts w:ascii="Arial" w:hAnsi="Arial"/>
          <w:color w:val="1A56C0"/>
          <w:sz w:val="22"/>
          <w:u w:val="single"/>
        </w:rPr>
        <w:t>Proyecto de reforma Ley 25.326 — AAIP</w:t>
      </w:r>
    </w:p>
    <w:p>
      <w:pPr>
        <w:spacing w:after="160"/>
      </w:pPr>
      <w:r>
        <w:rPr>
          <w:rFonts w:ascii="Arial" w:hAnsi="Arial"/>
          <w:color w:val="333333"/>
          <w:sz w:val="22"/>
        </w:rPr>
        <w:t xml:space="preserve">• </w:t>
      </w:r>
      <w:r>
        <w:rPr>
          <w:rFonts w:ascii="Arial" w:hAnsi="Arial"/>
          <w:color w:val="1A56C0"/>
          <w:sz w:val="22"/>
          <w:u w:val="single"/>
        </w:rPr>
        <w:t>Comparativa Zapier vs Make vs n8n 2026</w:t>
      </w:r>
    </w:p>
    <w:p>
      <w:pPr>
        <w:spacing w:after="160"/>
      </w:pPr>
      <w:r>
        <w:rPr>
          <w:rFonts w:ascii="Arial" w:hAnsi="Arial"/>
          <w:color w:val="333333"/>
          <w:sz w:val="22"/>
        </w:rPr>
        <w:t xml:space="preserve">• </w:t>
      </w:r>
      <w:r>
        <w:rPr>
          <w:rFonts w:ascii="Arial" w:hAnsi="Arial"/>
          <w:color w:val="1A56C0"/>
          <w:sz w:val="22"/>
          <w:u w:val="single"/>
        </w:rPr>
        <w:t>n8n en GitHub — repositorio oficial</w:t>
      </w:r>
    </w:p>
    <w:p/>
    <w:p>
      <w:pPr>
        <w:pBdr>
          <w:top w:val="single" w:sz="6" w:color="333333" w:space="1"/>
        </w:pBdr>
      </w:pPr>
    </w:p>
    <w:p>
      <w:r>
        <w:rPr>
          <w:rFonts w:ascii="Poppins" w:hAnsi="Poppins"/>
          <w:b/>
          <w:color w:val="000000"/>
          <w:sz w:val="22"/>
        </w:rPr>
        <w:t>Martín Santos</w:t>
      </w:r>
      <w:r>
        <w:br/>
      </w:r>
      <w:r>
        <w:rPr>
          <w:rFonts w:ascii="Arial" w:hAnsi="Arial"/>
          <w:i/>
          <w:color w:val="333333"/>
          <w:sz w:val="20"/>
        </w:rPr>
        <w:t>Presidente — ULTIMA MILLA S.A.</w:t>
      </w:r>
    </w:p>
    <w:sectPr w:rsidR="00FC693F" w:rsidRPr="0006063C" w:rsidSect="00034616">
      <w:headerReference w:type="default" r:id="rId9"/>
      <w:footerReference w:type="default" r:id="rId10"/>
      <w:pgSz w:w="11906" w:h="16838"/>
      <w:pgMar w:top="1191"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787" w:val="right"/>
      </w:tabs>
      <w:pBdr>
        <w:top w:val="single" w:sz="8" w:space="1" w:color="DDDDDD"/>
      </w:pBdr>
    </w:pPr>
    <w:r>
      <w:rPr>
        <w:rFonts w:ascii="Poppins" w:hAnsi="Poppins"/>
        <w:b/>
        <w:color w:val="DC2626"/>
        <w:sz w:val="16"/>
      </w:rPr>
      <w:t>www.ultimamilla.com.ar</w:t>
    </w:r>
    <w:r>
      <w:rPr>
        <w:rFonts w:ascii="Arial" w:hAnsi="Arial"/>
      </w:rPr>
      <w:tab/>
    </w:r>
    <w:r>
      <w:rPr>
        <w:rFonts w:ascii="Arial" w:hAnsi="Arial"/>
        <w:color w:val="666666"/>
        <w:sz w:val="16"/>
      </w:rPr>
      <w:t>Blog espejo — generado automáticamente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pBdr>
        <w:bottom w:val="single" w:sz="12" w:space="1" w:color="DC2626"/>
      </w:pBdr>
    </w:pPr>
    <w:r>
      <w:rPr>
        <w:rFonts w:ascii="Poppins" w:hAnsi="Poppins"/>
        <w:b/>
        <w:color w:val="000000"/>
        <w:sz w:val="18"/>
      </w:rPr>
      <w:t>ultimamilla</w:t>
    </w:r>
    <w:r>
      <w:rPr>
        <w:rFonts w:ascii="Poppins" w:hAnsi="Poppins"/>
        <w:b/>
        <w:color w:val="DC2626"/>
        <w:sz w:val="18"/>
      </w:rPr>
      <w:t>.</w:t>
    </w:r>
    <w:r>
      <w:rPr>
        <w:rFonts w:ascii="Poppins" w:hAnsi="Poppins"/>
        <w:b/>
        <w:color w:val="000000"/>
        <w:sz w:val="18"/>
      </w:rPr>
      <w:t>com</w:t>
    </w:r>
    <w:r>
      <w:rPr>
        <w:rFonts w:ascii="Poppins" w:hAnsi="Poppins"/>
        <w:b/>
        <w:color w:val="DC2626"/>
        <w:sz w:val="18"/>
      </w:rPr>
      <w:t>.</w:t>
    </w:r>
    <w:r>
      <w:rPr>
        <w:rFonts w:ascii="Poppins" w:hAnsi="Poppins"/>
        <w:b/>
        <w:color w:val="000000"/>
        <w:sz w:val="18"/>
      </w:rPr>
      <w:t>ar</w:t>
    </w:r>
    <w:r>
      <w:rPr>
        <w:rFonts w:ascii="Arial" w:hAnsi="Arial"/>
      </w:rPr>
      <w:tab/>
    </w:r>
    <w:r>
      <w:rPr>
        <w:rFonts w:ascii="Arial" w:hAnsi="Arial"/>
        <w:color w:val="666666"/>
        <w:sz w:val="16"/>
      </w:rPr>
      <w:t>BLOG UMSA — Nota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