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504" w:val="right"/>
        </w:tabs>
        <w:pBdr>
          <w:bottom w:val="single" w:sz="16" w:space="4" w:color="DC2626"/>
        </w:pBdr>
      </w:pPr>
      <w:r>
        <w:rPr>
          <w:rFonts w:ascii="Poppins" w:hAnsi="Poppins"/>
          <w:b/>
          <w:color w:val="000000"/>
          <w:sz w:val="48"/>
        </w:rPr>
        <w:t>ultimamilla</w:t>
      </w:r>
      <w:r>
        <w:rPr>
          <w:rFonts w:ascii="Poppins" w:hAnsi="Poppins"/>
          <w:b/>
          <w:color w:val="DC2626"/>
          <w:sz w:val="48"/>
        </w:rPr>
        <w:t>.</w:t>
      </w:r>
      <w:r>
        <w:rPr>
          <w:rFonts w:ascii="Poppins" w:hAnsi="Poppins"/>
          <w:b/>
          <w:color w:val="000000"/>
          <w:sz w:val="48"/>
        </w:rPr>
        <w:t>com</w:t>
      </w:r>
      <w:r>
        <w:rPr>
          <w:rFonts w:ascii="Poppins" w:hAnsi="Poppins"/>
          <w:b/>
          <w:color w:val="DC2626"/>
          <w:sz w:val="48"/>
        </w:rPr>
        <w:t>.</w:t>
      </w:r>
      <w:r>
        <w:rPr>
          <w:rFonts w:ascii="Poppins" w:hAnsi="Poppins"/>
          <w:b/>
          <w:color w:val="000000"/>
          <w:sz w:val="48"/>
        </w:rPr>
        <w:t>ar</w:t>
      </w:r>
      <w:r>
        <w:tab/>
      </w:r>
      <w:r>
        <w:rPr>
          <w:rFonts w:ascii="Poppins" w:hAnsi="Poppins"/>
          <w:b/>
          <w:color w:val="333333"/>
          <w:sz w:val="24"/>
        </w:rPr>
        <w:t>BLOG-051/2026</w:t>
      </w:r>
    </w:p>
    <w:tbl>
      <w:tblPr>
        <w:tblW w:type="auto" w:w="0"/>
        <w:tblLayout w:type="fixed"/>
        <w:tblLook w:firstColumn="1" w:firstRow="1" w:lastColumn="0" w:lastRow="0" w:noHBand="0" w:noVBand="1" w:val="04A0"/>
      </w:tblPr>
      <w:tblGrid>
        <w:gridCol w:w="2351"/>
        <w:gridCol w:w="2351"/>
        <w:gridCol w:w="2351"/>
        <w:gridCol w:w="2351"/>
      </w:tblGrid>
      <w:tr>
        <w:tc>
          <w:tcPr>
            <w:tcW w:type="dxa" w:w="1984"/>
            <w:tcBorders>
              <w:top w:val="single" w:sz="4" w:color="DDDDDD" w:space="0"/>
              <w:left w:val="single" w:sz="4" w:color="DDDDDD" w:space="0"/>
              <w:bottom w:val="single" w:sz="4" w:color="DDDDDD" w:space="0"/>
              <w:right w:val="single" w:sz="4" w:color="DDDDDD" w:space="0"/>
            </w:tcBorders>
          </w:tcPr>
          <w:p>
            <w:r/>
            <w:r>
              <w:rPr>
                <w:rFonts w:ascii="Arial" w:hAnsi="Arial"/>
                <w:b/>
                <w:color w:val="666666"/>
                <w:sz w:val="14"/>
              </w:rPr>
              <w:t>FECHA DE PUBLICACIÓN</w:t>
            </w:r>
          </w:p>
        </w:tc>
        <w:tc>
          <w:tcPr>
            <w:tcW w:type="dxa" w:w="2268"/>
            <w:tcBorders>
              <w:top w:val="single" w:sz="4" w:color="DDDDDD" w:space="0"/>
              <w:left w:val="single" w:sz="4" w:color="DDDDDD" w:space="0"/>
              <w:bottom w:val="single" w:sz="4" w:color="DDDDDD" w:space="0"/>
              <w:right w:val="single" w:sz="4" w:color="DDDDDD" w:space="0"/>
            </w:tcBorders>
          </w:tcPr>
          <w:p>
            <w:r/>
            <w:r>
              <w:rPr>
                <w:rFonts w:ascii="Arial" w:hAnsi="Arial"/>
                <w:b/>
                <w:color w:val="333333"/>
                <w:sz w:val="18"/>
              </w:rPr>
              <w:t>26 de abril de 2026</w:t>
            </w:r>
          </w:p>
        </w:tc>
        <w:tc>
          <w:tcPr>
            <w:tcW w:type="dxa" w:w="1984"/>
            <w:tcBorders>
              <w:top w:val="single" w:sz="4" w:color="DDDDDD" w:space="0"/>
              <w:left w:val="single" w:sz="4" w:color="DDDDDD" w:space="0"/>
              <w:bottom w:val="single" w:sz="4" w:color="DDDDDD" w:space="0"/>
              <w:right w:val="single" w:sz="4" w:color="DDDDDD" w:space="0"/>
            </w:tcBorders>
          </w:tcPr>
          <w:p>
            <w:r/>
            <w:r>
              <w:rPr>
                <w:rFonts w:ascii="Arial" w:hAnsi="Arial"/>
                <w:b/>
                <w:color w:val="666666"/>
                <w:sz w:val="14"/>
              </w:rPr>
              <w:t>CATEGORÍA</w:t>
            </w:r>
          </w:p>
        </w:tc>
        <w:tc>
          <w:tcPr>
            <w:tcW w:type="dxa" w:w="2268"/>
            <w:tcBorders>
              <w:top w:val="single" w:sz="4" w:color="DDDDDD" w:space="0"/>
              <w:left w:val="single" w:sz="4" w:color="DDDDDD" w:space="0"/>
              <w:bottom w:val="single" w:sz="4" w:color="DDDDDD" w:space="0"/>
              <w:right w:val="single" w:sz="4" w:color="DDDDDD" w:space="0"/>
            </w:tcBorders>
          </w:tcPr>
          <w:p>
            <w:r/>
            <w:r>
              <w:rPr>
                <w:rFonts w:ascii="Arial" w:hAnsi="Arial"/>
                <w:b/>
                <w:color w:val="333333"/>
                <w:sz w:val="18"/>
              </w:rPr>
              <w:t>Proyectos</w:t>
            </w:r>
          </w:p>
        </w:tc>
      </w:tr>
      <w:tr>
        <w:tc>
          <w:tcPr>
            <w:tcW w:type="dxa" w:w="1984"/>
            <w:tcBorders>
              <w:top w:val="single" w:sz="4" w:color="DDDDDD" w:space="0"/>
              <w:left w:val="single" w:sz="4" w:color="DDDDDD" w:space="0"/>
              <w:bottom w:val="single" w:sz="4" w:color="DDDDDD" w:space="0"/>
              <w:right w:val="single" w:sz="4" w:color="DDDDDD" w:space="0"/>
            </w:tcBorders>
          </w:tcPr>
          <w:p>
            <w:r/>
            <w:r>
              <w:rPr>
                <w:rFonts w:ascii="Arial" w:hAnsi="Arial"/>
                <w:b/>
                <w:color w:val="666666"/>
                <w:sz w:val="14"/>
              </w:rPr>
              <w:t>AUTOR</w:t>
            </w:r>
          </w:p>
        </w:tc>
        <w:tc>
          <w:tcPr>
            <w:tcW w:type="dxa" w:w="2268"/>
            <w:tcBorders>
              <w:top w:val="single" w:sz="4" w:color="DDDDDD" w:space="0"/>
              <w:left w:val="single" w:sz="4" w:color="DDDDDD" w:space="0"/>
              <w:bottom w:val="single" w:sz="4" w:color="DDDDDD" w:space="0"/>
              <w:right w:val="single" w:sz="4" w:color="DDDDDD" w:space="0"/>
            </w:tcBorders>
          </w:tcPr>
          <w:p>
            <w:r/>
            <w:r>
              <w:rPr>
                <w:rFonts w:ascii="Arial" w:hAnsi="Arial"/>
                <w:b/>
                <w:color w:val="333333"/>
                <w:sz w:val="18"/>
              </w:rPr>
              <w:t>Editorial UMSA</w:t>
            </w:r>
          </w:p>
        </w:tc>
        <w:tc>
          <w:tcPr>
            <w:tcW w:type="dxa" w:w="1984"/>
            <w:tcBorders>
              <w:top w:val="single" w:sz="4" w:color="DDDDDD" w:space="0"/>
              <w:left w:val="single" w:sz="4" w:color="DDDDDD" w:space="0"/>
              <w:bottom w:val="single" w:sz="4" w:color="DDDDDD" w:space="0"/>
              <w:right w:val="single" w:sz="4" w:color="DDDDDD" w:space="0"/>
            </w:tcBorders>
          </w:tcPr>
          <w:p>
            <w:r/>
            <w:r>
              <w:rPr>
                <w:rFonts w:ascii="Arial" w:hAnsi="Arial"/>
                <w:b/>
                <w:color w:val="666666"/>
                <w:sz w:val="14"/>
              </w:rPr>
              <w:t>TIEMPO DE LECTURA</w:t>
            </w:r>
          </w:p>
        </w:tc>
        <w:tc>
          <w:tcPr>
            <w:tcW w:type="dxa" w:w="2268"/>
            <w:tcBorders>
              <w:top w:val="single" w:sz="4" w:color="DDDDDD" w:space="0"/>
              <w:left w:val="single" w:sz="4" w:color="DDDDDD" w:space="0"/>
              <w:bottom w:val="single" w:sz="4" w:color="DDDDDD" w:space="0"/>
              <w:right w:val="single" w:sz="4" w:color="DDDDDD" w:space="0"/>
            </w:tcBorders>
          </w:tcPr>
          <w:p>
            <w:r/>
            <w:r>
              <w:rPr>
                <w:rFonts w:ascii="Arial" w:hAnsi="Arial"/>
                <w:b/>
                <w:color w:val="333333"/>
                <w:sz w:val="18"/>
              </w:rPr>
              <w:t>5 minutos</w:t>
            </w:r>
          </w:p>
        </w:tc>
      </w:tr>
      <w:tr>
        <w:tc>
          <w:tcPr>
            <w:tcW w:type="dxa" w:w="1984"/>
            <w:tcBorders>
              <w:top w:val="single" w:sz="4" w:color="DDDDDD" w:space="0"/>
              <w:left w:val="single" w:sz="4" w:color="DDDDDD" w:space="0"/>
              <w:bottom w:val="single" w:sz="4" w:color="DDDDDD" w:space="0"/>
              <w:right w:val="single" w:sz="4" w:color="DDDDDD" w:space="0"/>
            </w:tcBorders>
          </w:tcPr>
          <w:p>
            <w:r/>
            <w:r>
              <w:rPr>
                <w:rFonts w:ascii="Arial" w:hAnsi="Arial"/>
                <w:b/>
                <w:color w:val="666666"/>
                <w:sz w:val="14"/>
              </w:rPr>
              <w:t>URL</w:t>
            </w:r>
          </w:p>
        </w:tc>
        <w:tc>
          <w:tcPr>
            <w:tcW w:type="dxa" w:w="2268"/>
            <w:tcBorders>
              <w:top w:val="single" w:sz="4" w:color="DDDDDD" w:space="0"/>
              <w:left w:val="single" w:sz="4" w:color="DDDDDD" w:space="0"/>
              <w:bottom w:val="single" w:sz="4" w:color="DDDDDD" w:space="0"/>
              <w:right w:val="single" w:sz="4" w:color="DDDDDD" w:space="0"/>
            </w:tcBorders>
          </w:tcPr>
          <w:p>
            <w:r/>
            <w:r>
              <w:rPr>
                <w:rFonts w:ascii="Arial" w:hAnsi="Arial"/>
                <w:b/>
                <w:color w:val="333333"/>
                <w:sz w:val="18"/>
              </w:rPr>
              <w:t>https://www.ultimamilla.com.ar/blog/docuseal-en-una-mutual-cuyana-salida-de-docusign-sin-volver-al-papel</w:t>
            </w:r>
          </w:p>
        </w:tc>
        <w:tc>
          <w:tcPr>
            <w:tcW w:type="dxa" w:w="1984"/>
            <w:tcBorders>
              <w:top w:val="single" w:sz="4" w:color="DDDDDD" w:space="0"/>
              <w:left w:val="single" w:sz="4" w:color="DDDDDD" w:space="0"/>
              <w:bottom w:val="single" w:sz="4" w:color="DDDDDD" w:space="0"/>
              <w:right w:val="single" w:sz="4" w:color="DDDDDD" w:space="0"/>
            </w:tcBorders>
          </w:tcPr>
          <w:p>
            <w:r/>
            <w:r>
              <w:rPr>
                <w:rFonts w:ascii="Arial" w:hAnsi="Arial"/>
                <w:b/>
                <w:color w:val="666666"/>
                <w:sz w:val="14"/>
              </w:rPr>
              <w:t>TAGS</w:t>
            </w:r>
          </w:p>
        </w:tc>
        <w:tc>
          <w:tcPr>
            <w:tcW w:type="dxa" w:w="2268"/>
            <w:tcBorders>
              <w:top w:val="single" w:sz="4" w:color="DDDDDD" w:space="0"/>
              <w:left w:val="single" w:sz="4" w:color="DDDDDD" w:space="0"/>
              <w:bottom w:val="single" w:sz="4" w:color="DDDDDD" w:space="0"/>
              <w:right w:val="single" w:sz="4" w:color="DDDDDD" w:space="0"/>
            </w:tcBorders>
          </w:tcPr>
          <w:p>
            <w:r/>
            <w:r>
              <w:rPr>
                <w:rFonts w:ascii="Arial" w:hAnsi="Arial"/>
                <w:b/>
                <w:color w:val="333333"/>
                <w:sz w:val="18"/>
              </w:rPr>
              <w:t>docuseal · firma-digital · mendoza · open-source · postgresql</w:t>
            </w:r>
          </w:p>
        </w:tc>
      </w:tr>
    </w:tbl>
    <w:p/>
    <w:p>
      <w:r>
        <w:rPr>
          <w:rFonts w:ascii="Poppins" w:hAnsi="Poppins"/>
          <w:b/>
          <w:color w:val="000000"/>
          <w:sz w:val="40"/>
        </w:rPr>
        <w:t>DocuSeal en una mutual cuyana: salida de DocuSign sin volver al papel</w:t>
      </w:r>
    </w:p>
    <w:p>
      <w:pPr>
        <w:pBdr>
          <w:bottom w:val="single" w:sz="6" w:space="4" w:color="DC2626"/>
        </w:pBdr>
      </w:pPr>
      <w:r>
        <w:rPr>
          <w:rFonts w:ascii="Arial" w:hAnsi="Arial"/>
          <w:i/>
          <w:color w:val="666666"/>
          <w:sz w:val="20"/>
        </w:rPr>
        <w:t>Nota publicada en el blog corporativo de ULTIMA MILLA S.A. — Espejo editorial DOCX.</w:t>
      </w:r>
    </w:p>
    <w:p/>
    <w:p>
      <w:pPr>
        <w:spacing w:after="120"/>
      </w:pPr>
      <w:r>
        <w:rPr>
          <w:rFonts w:ascii="Arial" w:hAnsi="Arial"/>
          <w:color w:val="333333"/>
          <w:sz w:val="22"/>
        </w:rPr>
        <w:t>A las 7:42 de un martes de marzo, la responsable de mesa de entradas de una mutual con sede en Mendoza imprimió 142 contratos de mutuo. Los apiló en cuatro montañitas, los firmó con un sello azul que tiene el nombre del presidente, los escaneó en una multifunción Lexmark y los subió a una carpeta compartida llamada "DEFINITIVO_2026_v3". El procedimiento llevaba once años. La auditoría externa de marzo lo marcó, en una sola línea, como "no trazable".</w:t>
      </w:r>
    </w:p>
    <w:p/>
    <w:tbl>
      <w:tblPr>
        <w:tblW w:type="auto" w:w="0"/>
        <w:tblLayout w:type="fixed"/>
        <w:tblLook w:firstColumn="1" w:firstRow="1" w:lastColumn="0" w:lastRow="0" w:noHBand="0" w:noVBand="1" w:val="04A0"/>
      </w:tblPr>
      <w:tblGrid>
        <w:gridCol w:w="4702"/>
        <w:gridCol w:w="4702"/>
      </w:tblGrid>
      <w:tr>
        <w:tc>
          <w:tcPr>
            <w:tcW w:type="dxa" w:w="567"/>
            <w:shd w:val="clear" w:color="auto" w:fill="1A56C0"/>
            <w:vAlign w:val="center"/>
            <w:tcBorders>
              <w:top w:val="single" w:sz="4" w:color="1A56C0" w:space="0"/>
              <w:left w:val="single" w:sz="4" w:color="1A56C0" w:space="0"/>
              <w:bottom w:val="single" w:sz="4" w:color="1A56C0" w:space="0"/>
              <w:right w:val="single" w:sz="4" w:color="1A56C0" w:space="0"/>
            </w:tcBorders>
          </w:tcPr>
          <w:p>
            <w:pPr>
              <w:jc w:val="center"/>
            </w:pPr>
            <w:r>
              <w:rPr>
                <w:rFonts w:ascii="Poppins" w:hAnsi="Poppins"/>
                <w:b/>
                <w:color w:val="FFFFFF"/>
                <w:sz w:val="26"/>
              </w:rPr>
              <w:t>1</w:t>
            </w:r>
          </w:p>
        </w:tc>
        <w:tc>
          <w:tcPr>
            <w:tcW w:type="dxa" w:w="7937"/>
            <w:shd w:val="clear" w:color="auto" w:fill="F5F5F5"/>
            <w:vAlign w:val="center"/>
            <w:tcBorders>
              <w:top w:val="single" w:sz="4" w:color="F5F5F5" w:space="0"/>
              <w:left w:val="single" w:sz="4" w:color="F5F5F5" w:space="0"/>
              <w:bottom w:val="single" w:sz="12" w:color="DC2626" w:space="0"/>
              <w:right w:val="single" w:sz="4" w:color="F5F5F5" w:space="0"/>
            </w:tcBorders>
          </w:tcPr>
          <w:p>
            <w:r>
              <w:rPr>
                <w:rFonts w:ascii="Poppins" w:hAnsi="Poppins"/>
                <w:b/>
                <w:color w:val="000000"/>
                <w:sz w:val="26"/>
              </w:rPr>
              <w:t xml:space="preserve">  EL PROBLEMA, EN TÉRMINOS HUMANOS</w:t>
            </w:r>
          </w:p>
        </w:tc>
      </w:tr>
    </w:tbl>
    <w:p/>
    <w:p/>
    <w:p>
      <w:pPr>
        <w:spacing w:after="120"/>
      </w:pPr>
      <w:r>
        <w:rPr>
          <w:rFonts w:ascii="Arial" w:hAnsi="Arial"/>
          <w:color w:val="333333"/>
          <w:sz w:val="22"/>
        </w:rPr>
        <w:t>La mutual firma alrededor de 30.000 documentos por año entre contratos de mutuo, autorizaciones de débito, altas y bajas de socios y cobertura de servicios sociales. Lo del sello azul venía funcionando porque nadie miraba con lupa. Hasta que alguien miró.</w:t>
      </w:r>
    </w:p>
    <w:p/>
    <w:p>
      <w:pPr>
        <w:spacing w:after="120"/>
      </w:pPr>
      <w:r>
        <w:rPr>
          <w:rFonts w:ascii="Arial" w:hAnsi="Arial"/>
          <w:color w:val="333333"/>
          <w:sz w:val="22"/>
        </w:rPr>
        <w:t xml:space="preserve">La cotización de DocuSign llegó por mail tres días después. Plan "Business Pro": USD 40 por usuario por mes, con doce usuarios activos entre Legales, Cobranzas y Atención al Socio. Eso son </w:t>
      </w:r>
      <w:r>
        <w:rPr>
          <w:rFonts w:ascii="Arial" w:hAnsi="Arial"/>
          <w:color w:val="DC2626"/>
          <w:sz w:val="22"/>
          <w:u w:val="single"/>
        </w:rPr>
        <w:t>USD 480 por mes, USD 5.760 por año</w:t>
      </w:r>
      <w:r>
        <w:rPr>
          <w:rFonts w:ascii="Arial" w:hAnsi="Arial"/>
          <w:color w:val="666666"/>
          <w:sz w:val="16"/>
        </w:rPr>
        <w:t xml:space="preserve"> (https://www.g2.com/products/docusign/pricing)</w:t>
      </w:r>
      <w:r>
        <w:rPr>
          <w:rFonts w:ascii="Arial" w:hAnsi="Arial"/>
          <w:color w:val="333333"/>
          <w:sz w:val="22"/>
        </w:rPr>
        <w:t xml:space="preserve"> y eso aún sin contar los recargos por volumen de envelopes que aparecen cuando se cruza la barrera de las pocas miles de firmas. Para una mutual cuyana de tamaño medio, USD 5.760 al año es el sueldo bruto y medio de un analista junior de sistemas.</w:t>
      </w:r>
    </w:p>
    <w:p/>
    <w:p>
      <w:pPr>
        <w:spacing w:after="120"/>
      </w:pPr>
      <w:r>
        <w:rPr>
          <w:rFonts w:ascii="Arial" w:hAnsi="Arial"/>
          <w:color w:val="333333"/>
          <w:sz w:val="22"/>
        </w:rPr>
        <w:t xml:space="preserve">Pero la cifra no era el problema más grande. El problema era que los contratos de mutuo —documentos con datos personales sensibles bajo </w:t>
      </w:r>
      <w:r>
        <w:rPr>
          <w:rFonts w:ascii="Arial" w:hAnsi="Arial"/>
          <w:color w:val="DC2626"/>
          <w:sz w:val="22"/>
          <w:u w:val="single"/>
        </w:rPr>
        <w:t>Ley 25.326</w:t>
      </w:r>
      <w:r>
        <w:rPr>
          <w:rFonts w:ascii="Arial" w:hAnsi="Arial"/>
          <w:color w:val="666666"/>
          <w:sz w:val="16"/>
        </w:rPr>
        <w:t xml:space="preserve"> (https://servicios.infoleg.gob.ar/infolegInternet/anexos/60000-64999/64790/texact.htm)</w:t>
      </w:r>
      <w:r>
        <w:rPr>
          <w:rFonts w:ascii="Arial" w:hAnsi="Arial"/>
          <w:color w:val="333333"/>
          <w:sz w:val="22"/>
        </w:rPr>
        <w:t>— iban a quedar almacenados en servidores de Estados Unidos, lo que dispara el régimen de transferencia internacional de datos. Nadie en el área legal tenía ganas de redactar ese disclosure.</w:t>
      </w:r>
    </w:p>
    <w:p/>
    <w:tbl>
      <w:tblPr>
        <w:tblW w:type="auto" w:w="0"/>
        <w:tblLayout w:type="fixed"/>
        <w:tblLook w:firstColumn="1" w:firstRow="1" w:lastColumn="0" w:lastRow="0" w:noHBand="0" w:noVBand="1" w:val="04A0"/>
      </w:tblPr>
      <w:tblGrid>
        <w:gridCol w:w="4702"/>
        <w:gridCol w:w="4702"/>
      </w:tblGrid>
      <w:tr>
        <w:tc>
          <w:tcPr>
            <w:tcW w:type="dxa" w:w="567"/>
            <w:shd w:val="clear" w:color="auto" w:fill="1A56C0"/>
            <w:vAlign w:val="center"/>
            <w:tcBorders>
              <w:top w:val="single" w:sz="4" w:color="1A56C0" w:space="0"/>
              <w:left w:val="single" w:sz="4" w:color="1A56C0" w:space="0"/>
              <w:bottom w:val="single" w:sz="4" w:color="1A56C0" w:space="0"/>
              <w:right w:val="single" w:sz="4" w:color="1A56C0" w:space="0"/>
            </w:tcBorders>
          </w:tcPr>
          <w:p>
            <w:pPr>
              <w:jc w:val="center"/>
            </w:pPr>
            <w:r>
              <w:rPr>
                <w:rFonts w:ascii="Poppins" w:hAnsi="Poppins"/>
                <w:b/>
                <w:color w:val="FFFFFF"/>
                <w:sz w:val="26"/>
              </w:rPr>
              <w:t>2</w:t>
            </w:r>
          </w:p>
        </w:tc>
        <w:tc>
          <w:tcPr>
            <w:tcW w:type="dxa" w:w="7937"/>
            <w:shd w:val="clear" w:color="auto" w:fill="F5F5F5"/>
            <w:vAlign w:val="center"/>
            <w:tcBorders>
              <w:top w:val="single" w:sz="4" w:color="F5F5F5" w:space="0"/>
              <w:left w:val="single" w:sz="4" w:color="F5F5F5" w:space="0"/>
              <w:bottom w:val="single" w:sz="12" w:color="DC2626" w:space="0"/>
              <w:right w:val="single" w:sz="4" w:color="F5F5F5" w:space="0"/>
            </w:tcBorders>
          </w:tcPr>
          <w:p>
            <w:r>
              <w:rPr>
                <w:rFonts w:ascii="Poppins" w:hAnsi="Poppins"/>
                <w:b/>
                <w:color w:val="000000"/>
                <w:sz w:val="26"/>
              </w:rPr>
              <w:t xml:space="preserve">  POR QUÉ LAS SOLUCIONES OBVIAS FALLAN</w:t>
            </w:r>
          </w:p>
        </w:tc>
      </w:tr>
    </w:tbl>
    <w:p/>
    <w:p/>
    <w:p>
      <w:pPr>
        <w:spacing w:after="120"/>
      </w:pPr>
      <w:r>
        <w:rPr>
          <w:rFonts w:ascii="Arial" w:hAnsi="Arial"/>
          <w:color w:val="333333"/>
          <w:sz w:val="22"/>
        </w:rPr>
        <w:t>La salida obvia parecía ser: "subimos todo a Drive y firmamos con Adobe Sign". Falla por dos motivos que conviene tener bien separados.</w:t>
      </w:r>
    </w:p>
    <w:p/>
    <w:p>
      <w:pPr>
        <w:spacing w:after="120"/>
      </w:pPr>
      <w:r>
        <w:rPr>
          <w:rFonts w:ascii="Arial" w:hAnsi="Arial"/>
          <w:color w:val="333333"/>
          <w:sz w:val="22"/>
        </w:rPr>
        <w:t xml:space="preserve">El primero es jurídico. Adobe Sign, DocuSign y OneSpan operan en Argentina como </w:t>
      </w:r>
      <w:r>
        <w:rPr>
          <w:rFonts w:ascii="Arial" w:hAnsi="Arial"/>
          <w:b/>
          <w:color w:val="000000"/>
          <w:sz w:val="22"/>
        </w:rPr>
        <w:t>firma electrónica</w:t>
      </w:r>
      <w:r>
        <w:rPr>
          <w:rFonts w:ascii="Arial" w:hAnsi="Arial"/>
          <w:color w:val="333333"/>
          <w:sz w:val="22"/>
        </w:rPr>
        <w:t xml:space="preserve">, no como firma digital en el sentido del </w:t>
      </w:r>
      <w:r>
        <w:rPr>
          <w:rFonts w:ascii="Arial" w:hAnsi="Arial"/>
          <w:color w:val="DC2626"/>
          <w:sz w:val="22"/>
          <w:u w:val="single"/>
        </w:rPr>
        <w:t>artículo 5 de la Ley 25.506</w:t>
      </w:r>
      <w:r>
        <w:rPr>
          <w:rFonts w:ascii="Arial" w:hAnsi="Arial"/>
          <w:color w:val="666666"/>
          <w:sz w:val="16"/>
        </w:rPr>
        <w:t xml:space="preserve"> (https://servicios.infoleg.gob.ar/infolegInternet/anexos/70000-74999/70749/norma.htm)</w:t>
      </w:r>
      <w:r>
        <w:rPr>
          <w:rFonts w:ascii="Arial" w:hAnsi="Arial"/>
          <w:color w:val="333333"/>
          <w:sz w:val="22"/>
        </w:rPr>
        <w:t xml:space="preserve">. La diferencia parece técnica y no lo es: la firma electrónica invierte la carga de la prueba. Si un socio cuestiona la firma, la mutual tiene que demostrar la integridad del documento, su cadena de custodia y la voluntad del firmante. Para eso hace falta el </w:t>
      </w:r>
      <w:r>
        <w:rPr>
          <w:rFonts w:ascii="Arial" w:hAnsi="Arial"/>
          <w:b/>
          <w:color w:val="000000"/>
          <w:sz w:val="22"/>
        </w:rPr>
        <w:t>trail completo</w:t>
      </w:r>
      <w:r>
        <w:rPr>
          <w:rFonts w:ascii="Arial" w:hAnsi="Arial"/>
          <w:color w:val="333333"/>
          <w:sz w:val="22"/>
        </w:rPr>
        <w:t>, no el PDF final. La mayoría de los SaaS exporta el PDF y deja la cadena de auditoría en sus servidores. La mutual no es dueña de la prueba que después tiene que producir.</w:t>
      </w:r>
    </w:p>
    <w:p/>
    <w:p>
      <w:pPr>
        <w:spacing w:after="120"/>
      </w:pPr>
      <w:r>
        <w:rPr>
          <w:rFonts w:ascii="Arial" w:hAnsi="Arial"/>
          <w:color w:val="333333"/>
          <w:sz w:val="22"/>
        </w:rPr>
        <w:t xml:space="preserve">El segundo es regulatorio. La firma digital "fuerte" en Argentina sigue requiriendo certificado emitido por una Autoridad Certificante licenciada —típicamente AC ONTI o una privada habilitada por la Secretaría de Innovación—. La </w:t>
      </w:r>
      <w:r>
        <w:rPr>
          <w:rFonts w:ascii="Arial" w:hAnsi="Arial"/>
          <w:color w:val="DC2626"/>
          <w:sz w:val="22"/>
          <w:u w:val="single"/>
        </w:rPr>
        <w:t>Resolución SICYT 290/2025</w:t>
      </w:r>
      <w:r>
        <w:rPr>
          <w:rFonts w:ascii="Arial" w:hAnsi="Arial"/>
          <w:color w:val="666666"/>
          <w:sz w:val="16"/>
        </w:rPr>
        <w:t xml:space="preserve"> (https://www.boletinoficial.gob.ar/pdf/aviso/primera/312489/20250711)</w:t>
      </w:r>
      <w:r>
        <w:rPr>
          <w:rFonts w:ascii="Arial" w:hAnsi="Arial"/>
          <w:color w:val="333333"/>
          <w:sz w:val="22"/>
        </w:rPr>
        <w:t xml:space="preserve"> prorrogó la vigencia de la Infraestructura de Firma Digital hasta mayo de 2026, dejando en claro que ese régimen sigue siendo el que vale para actos donde el Estatuto exige firma digital. Ningún SaaS de firma electrónica reemplaza ese token. Y comprar tokens para doce usuarios en DocuSign no era el plan: el plan era no pagar más SaaS en dólares.</w:t>
      </w:r>
    </w:p>
    <w:p/>
    <w:tbl>
      <w:tblPr>
        <w:tblW w:type="auto" w:w="0"/>
        <w:tblLayout w:type="fixed"/>
        <w:tblLook w:firstColumn="1" w:firstRow="1" w:lastColumn="0" w:lastRow="0" w:noHBand="0" w:noVBand="1" w:val="04A0"/>
      </w:tblPr>
      <w:tblGrid>
        <w:gridCol w:w="4702"/>
        <w:gridCol w:w="4702"/>
      </w:tblGrid>
      <w:tr>
        <w:tc>
          <w:tcPr>
            <w:tcW w:type="dxa" w:w="567"/>
            <w:shd w:val="clear" w:color="auto" w:fill="1A56C0"/>
            <w:vAlign w:val="center"/>
            <w:tcBorders>
              <w:top w:val="single" w:sz="4" w:color="1A56C0" w:space="0"/>
              <w:left w:val="single" w:sz="4" w:color="1A56C0" w:space="0"/>
              <w:bottom w:val="single" w:sz="4" w:color="1A56C0" w:space="0"/>
              <w:right w:val="single" w:sz="4" w:color="1A56C0" w:space="0"/>
            </w:tcBorders>
          </w:tcPr>
          <w:p>
            <w:pPr>
              <w:jc w:val="center"/>
            </w:pPr>
            <w:r>
              <w:rPr>
                <w:rFonts w:ascii="Poppins" w:hAnsi="Poppins"/>
                <w:b/>
                <w:color w:val="FFFFFF"/>
                <w:sz w:val="26"/>
              </w:rPr>
              <w:t>3</w:t>
            </w:r>
          </w:p>
        </w:tc>
        <w:tc>
          <w:tcPr>
            <w:tcW w:type="dxa" w:w="7937"/>
            <w:shd w:val="clear" w:color="auto" w:fill="F5F5F5"/>
            <w:vAlign w:val="center"/>
            <w:tcBorders>
              <w:top w:val="single" w:sz="4" w:color="F5F5F5" w:space="0"/>
              <w:left w:val="single" w:sz="4" w:color="F5F5F5" w:space="0"/>
              <w:bottom w:val="single" w:sz="12" w:color="DC2626" w:space="0"/>
              <w:right w:val="single" w:sz="4" w:color="F5F5F5" w:space="0"/>
            </w:tcBorders>
          </w:tcPr>
          <w:p>
            <w:r>
              <w:rPr>
                <w:rFonts w:ascii="Poppins" w:hAnsi="Poppins"/>
                <w:b/>
                <w:color w:val="000000"/>
                <w:sz w:val="26"/>
              </w:rPr>
              <w:t xml:space="preserve">  LA SALIDA CON TECNOLOGÍA ABIERTA</w:t>
            </w:r>
          </w:p>
        </w:tc>
      </w:tr>
    </w:tbl>
    <w:p/>
    <w:p/>
    <w:p>
      <w:pPr>
        <w:spacing w:after="120"/>
      </w:pPr>
      <w:r>
        <w:rPr>
          <w:rFonts w:ascii="Arial" w:hAnsi="Arial"/>
          <w:color w:val="333333"/>
          <w:sz w:val="22"/>
        </w:rPr>
        <w:t xml:space="preserve">Lo que terminó adoptado es </w:t>
      </w:r>
      <w:r>
        <w:rPr>
          <w:rFonts w:ascii="Arial" w:hAnsi="Arial"/>
          <w:color w:val="DC2626"/>
          <w:sz w:val="22"/>
          <w:u w:val="single"/>
        </w:rPr>
        <w:t>DocuSeal</w:t>
      </w:r>
      <w:r>
        <w:rPr>
          <w:rFonts w:ascii="Arial" w:hAnsi="Arial"/>
          <w:color w:val="666666"/>
          <w:sz w:val="16"/>
        </w:rPr>
        <w:t xml:space="preserve"> (https://github.com/docusealco/docuseal)</w:t>
      </w:r>
      <w:r>
        <w:rPr>
          <w:rFonts w:ascii="Arial" w:hAnsi="Arial"/>
          <w:color w:val="333333"/>
          <w:sz w:val="22"/>
        </w:rPr>
        <w:t>, un proyecto open source que en 2026 ya pasó de "experimento de fin de semana" a alternativa real. Soporta PostgreSQL en producción —recomendado por la documentación oficial para uso concurrente vía API—, drag-and-drop de campos sobre PDF, multi-firmante, webhooks, y se autohospeda con dos contenedores Docker.</w:t>
      </w:r>
    </w:p>
    <w:p/>
    <w:p>
      <w:pPr>
        <w:spacing w:after="120"/>
      </w:pPr>
      <w:r>
        <w:rPr>
          <w:rFonts w:ascii="Arial" w:hAnsi="Arial"/>
          <w:color w:val="333333"/>
          <w:sz w:val="22"/>
        </w:rPr>
        <w:t>El stack quedó así:</w:t>
      </w:r>
    </w:p>
    <w:p/>
    <w:p>
      <w:pPr>
        <w:ind w:left="283"/>
      </w:pPr>
      <w:r>
        <w:rPr>
          <w:rFonts w:ascii="Arial" w:hAnsi="Arial"/>
          <w:b/>
          <w:color w:val="DC2626"/>
          <w:sz w:val="22"/>
        </w:rPr>
        <w:t xml:space="preserve">•  </w:t>
      </w:r>
      <w:r>
        <w:rPr>
          <w:rFonts w:ascii="Arial" w:hAnsi="Arial"/>
          <w:b/>
          <w:color w:val="000000"/>
          <w:sz w:val="22"/>
        </w:rPr>
        <w:t>DocuSeal Community</w:t>
      </w:r>
      <w:r>
        <w:rPr>
          <w:rFonts w:ascii="Arial" w:hAnsi="Arial"/>
          <w:color w:val="333333"/>
          <w:sz w:val="22"/>
        </w:rPr>
        <w:t xml:space="preserve"> corriendo en una VM de 4 vCPU / 8 GB en un datacenter argentino, USD 22 por mes.</w:t>
      </w:r>
    </w:p>
    <w:p>
      <w:pPr>
        <w:ind w:left="283"/>
      </w:pPr>
      <w:r>
        <w:rPr>
          <w:rFonts w:ascii="Arial" w:hAnsi="Arial"/>
          <w:b/>
          <w:color w:val="DC2626"/>
          <w:sz w:val="22"/>
        </w:rPr>
        <w:t xml:space="preserve">•  </w:t>
      </w:r>
      <w:r>
        <w:rPr>
          <w:rFonts w:ascii="Arial" w:hAnsi="Arial"/>
          <w:b/>
          <w:color w:val="000000"/>
          <w:sz w:val="22"/>
        </w:rPr>
        <w:t>PostgreSQL 17</w:t>
      </w:r>
      <w:r>
        <w:rPr>
          <w:rFonts w:ascii="Arial" w:hAnsi="Arial"/>
          <w:color w:val="333333"/>
          <w:sz w:val="22"/>
        </w:rPr>
        <w:t xml:space="preserve"> separado, en otra VM más chica con backup cifrado diario fuera de sitio.</w:t>
      </w:r>
    </w:p>
    <w:p>
      <w:pPr>
        <w:ind w:left="283"/>
      </w:pPr>
      <w:r>
        <w:rPr>
          <w:rFonts w:ascii="Arial" w:hAnsi="Arial"/>
          <w:b/>
          <w:color w:val="DC2626"/>
          <w:sz w:val="22"/>
        </w:rPr>
        <w:t xml:space="preserve">•  </w:t>
      </w:r>
      <w:r>
        <w:rPr>
          <w:rFonts w:ascii="Arial" w:hAnsi="Arial"/>
          <w:b/>
          <w:color w:val="000000"/>
          <w:sz w:val="22"/>
        </w:rPr>
        <w:t>Token USB AC ONTI</w:t>
      </w:r>
      <w:r>
        <w:rPr>
          <w:rFonts w:ascii="Arial" w:hAnsi="Arial"/>
          <w:color w:val="333333"/>
          <w:sz w:val="22"/>
        </w:rPr>
        <w:t xml:space="preserve"> del presidente y del tesorero, para los actos protocolares donde el Estatuto pide firma digital. DocuSeal opera el flujo electrónico, ONTI hace el cierre cuando hace falta.</w:t>
      </w:r>
    </w:p>
    <w:p>
      <w:pPr>
        <w:ind w:left="283"/>
      </w:pPr>
      <w:r>
        <w:rPr>
          <w:rFonts w:ascii="Arial" w:hAnsi="Arial"/>
          <w:b/>
          <w:color w:val="DC2626"/>
          <w:sz w:val="22"/>
        </w:rPr>
        <w:t xml:space="preserve">•  </w:t>
      </w:r>
      <w:r>
        <w:rPr>
          <w:rFonts w:ascii="Arial" w:hAnsi="Arial"/>
          <w:b/>
          <w:color w:val="000000"/>
          <w:sz w:val="22"/>
        </w:rPr>
        <w:t>Webhook al ERP</w:t>
      </w:r>
      <w:r>
        <w:rPr>
          <w:rFonts w:ascii="Arial" w:hAnsi="Arial"/>
          <w:color w:val="333333"/>
          <w:sz w:val="22"/>
        </w:rPr>
        <w:t xml:space="preserve"> —en este caso, un Odoo ya existente— para que cada documento firmado se enganche al expediente del socio sin doble carga.</w:t>
      </w:r>
    </w:p>
    <w:p/>
    <w:p>
      <w:pPr>
        <w:spacing w:after="120"/>
      </w:pPr>
      <w:r>
        <w:rPr>
          <w:rFonts w:ascii="Arial" w:hAnsi="Arial"/>
          <w:color w:val="333333"/>
          <w:sz w:val="22"/>
        </w:rPr>
        <w:t>Tiempo de implementación: nueve días hábiles desde el kickoff hasta el primer contrato firmado en producción. Costo total año uno, incluyendo servidores, dominio, certificado SSL y horas de integración: aproximadamente USD 1.500. Frente a USD 5.760 de DocuSign Business Pro, la diferencia neta queda arriba de USD 4.000 por año, que en una mutual de este tamaño no es decimal.</w:t>
      </w:r>
    </w:p>
    <w:p/>
    <w:p>
      <w:pPr>
        <w:spacing w:after="120"/>
      </w:pPr>
      <w:r>
        <w:rPr>
          <w:rFonts w:ascii="Arial" w:hAnsi="Arial"/>
          <w:color w:val="333333"/>
          <w:sz w:val="22"/>
        </w:rPr>
        <w:t>Este patrón —pasar de un SaaS de firma a DocuSeal autohospedado con AC ONTI atrás para los actos que lo exigen— es el tipo de migración que en ULTIMA MILLA venimos haciendo en organizaciones del sector cooperativo, mutual y de salud privada en Cuyo. La parte interesante no es el deploy del software (eso lleva una tarde): es la integración con la lógica de expedientes que cada organización tiene, y que ningún SaaS conoce.</w:t>
      </w:r>
    </w:p>
    <w:p/>
    <w:tbl>
      <w:tblPr>
        <w:tblW w:type="auto" w:w="0"/>
        <w:tblLayout w:type="fixed"/>
        <w:tblLook w:firstColumn="1" w:firstRow="1" w:lastColumn="0" w:lastRow="0" w:noHBand="0" w:noVBand="1" w:val="04A0"/>
      </w:tblPr>
      <w:tblGrid>
        <w:gridCol w:w="4702"/>
        <w:gridCol w:w="4702"/>
      </w:tblGrid>
      <w:tr>
        <w:tc>
          <w:tcPr>
            <w:tcW w:type="dxa" w:w="567"/>
            <w:shd w:val="clear" w:color="auto" w:fill="1A56C0"/>
            <w:vAlign w:val="center"/>
            <w:tcBorders>
              <w:top w:val="single" w:sz="4" w:color="1A56C0" w:space="0"/>
              <w:left w:val="single" w:sz="4" w:color="1A56C0" w:space="0"/>
              <w:bottom w:val="single" w:sz="4" w:color="1A56C0" w:space="0"/>
              <w:right w:val="single" w:sz="4" w:color="1A56C0" w:space="0"/>
            </w:tcBorders>
          </w:tcPr>
          <w:p>
            <w:pPr>
              <w:jc w:val="center"/>
            </w:pPr>
            <w:r>
              <w:rPr>
                <w:rFonts w:ascii="Poppins" w:hAnsi="Poppins"/>
                <w:b/>
                <w:color w:val="FFFFFF"/>
                <w:sz w:val="26"/>
              </w:rPr>
              <w:t>4</w:t>
            </w:r>
          </w:p>
        </w:tc>
        <w:tc>
          <w:tcPr>
            <w:tcW w:type="dxa" w:w="7937"/>
            <w:shd w:val="clear" w:color="auto" w:fill="F5F5F5"/>
            <w:vAlign w:val="center"/>
            <w:tcBorders>
              <w:top w:val="single" w:sz="4" w:color="F5F5F5" w:space="0"/>
              <w:left w:val="single" w:sz="4" w:color="F5F5F5" w:space="0"/>
              <w:bottom w:val="single" w:sz="12" w:color="DC2626" w:space="0"/>
              <w:right w:val="single" w:sz="4" w:color="F5F5F5" w:space="0"/>
            </w:tcBorders>
          </w:tcPr>
          <w:p>
            <w:r>
              <w:rPr>
                <w:rFonts w:ascii="Poppins" w:hAnsi="Poppins"/>
                <w:b/>
                <w:color w:val="000000"/>
                <w:sz w:val="26"/>
              </w:rPr>
              <w:t xml:space="preserve">  QUÉ HAY QUE MIRAR ANTES DE COPIARLO</w:t>
            </w:r>
          </w:p>
        </w:tc>
      </w:tr>
    </w:tbl>
    <w:p/>
    <w:p/>
    <w:p>
      <w:pPr>
        <w:spacing w:after="120"/>
      </w:pPr>
      <w:r>
        <w:rPr>
          <w:rFonts w:ascii="Arial" w:hAnsi="Arial"/>
          <w:b/>
          <w:color w:val="000000"/>
          <w:sz w:val="22"/>
        </w:rPr>
        <w:t>Uno.</w:t>
      </w:r>
      <w:r>
        <w:rPr>
          <w:rFonts w:ascii="Arial" w:hAnsi="Arial"/>
          <w:color w:val="333333"/>
          <w:sz w:val="22"/>
        </w:rPr>
        <w:t xml:space="preserve"> DocuSeal no reemplaza a AC ONTI. Hace firma electrónica avanzada con auditoría, hashing y timestamp, lo cual cubre el 95% del volumen operativo. Pero los actos donde el Estatuto o una norma sectorial exige firma digital de las que invierten la carga de la prueba siguen necesitando certificado de AC habilitada. El stack tiene que ser mixto desde el día cero, no agregar AC ONTI dos años después cuando ya hay 60.000 documentos firmados sólo electrónicamente.</w:t>
      </w:r>
    </w:p>
    <w:p/>
    <w:p>
      <w:pPr>
        <w:spacing w:after="120"/>
      </w:pPr>
      <w:r>
        <w:rPr>
          <w:rFonts w:ascii="Arial" w:hAnsi="Arial"/>
          <w:b/>
          <w:color w:val="000000"/>
          <w:sz w:val="22"/>
        </w:rPr>
        <w:t>Dos.</w:t>
      </w:r>
      <w:r>
        <w:rPr>
          <w:rFonts w:ascii="Arial" w:hAnsi="Arial"/>
          <w:color w:val="333333"/>
          <w:sz w:val="22"/>
        </w:rPr>
        <w:t xml:space="preserve"> El backup pasa a ser problema tuyo. En SaaS, si se pierde un documento, la culpa es del proveedor y hay un SLA. En autohospedado, si no hay backup encriptado off-site con retención mínima de diez años, perdiste el documento. Algunos contratos de mutuo y de seguro tienen retención obligatoria de hasta veinte años. Esto no se delega, se diseña.</w:t>
      </w:r>
    </w:p>
    <w:p/>
    <w:p>
      <w:pPr>
        <w:spacing w:after="120"/>
      </w:pPr>
      <w:r>
        <w:rPr>
          <w:rFonts w:ascii="Arial" w:hAnsi="Arial"/>
          <w:b/>
          <w:color w:val="000000"/>
          <w:sz w:val="22"/>
        </w:rPr>
        <w:t>Tres.</w:t>
      </w:r>
      <w:r>
        <w:rPr>
          <w:rFonts w:ascii="Arial" w:hAnsi="Arial"/>
          <w:color w:val="333333"/>
          <w:sz w:val="22"/>
        </w:rPr>
        <w:t xml:space="preserve"> La licencia. DocuSeal está bajo AGPL para la edición Community. Para uso interno no hay obligación de publicar nada, pero si la mutual integra DocuSeal con un portal expuesto a terceros y modifica el código, las obligaciones de publicación del fuente aplican. La pregunta "¿estamos cumpliendo la AGPL?" se le hace al abogado *antes* de modificar el código, no después.</w:t>
      </w:r>
    </w:p>
    <w:p/>
    <w:tbl>
      <w:tblPr>
        <w:tblW w:type="auto" w:w="0"/>
        <w:tblLayout w:type="fixed"/>
        <w:tblLook w:firstColumn="1" w:firstRow="1" w:lastColumn="0" w:lastRow="0" w:noHBand="0" w:noVBand="1" w:val="04A0"/>
      </w:tblPr>
      <w:tblGrid>
        <w:gridCol w:w="4702"/>
        <w:gridCol w:w="4702"/>
      </w:tblGrid>
      <w:tr>
        <w:tc>
          <w:tcPr>
            <w:tcW w:type="dxa" w:w="567"/>
            <w:shd w:val="clear" w:color="auto" w:fill="1A56C0"/>
            <w:vAlign w:val="center"/>
            <w:tcBorders>
              <w:top w:val="single" w:sz="4" w:color="1A56C0" w:space="0"/>
              <w:left w:val="single" w:sz="4" w:color="1A56C0" w:space="0"/>
              <w:bottom w:val="single" w:sz="4" w:color="1A56C0" w:space="0"/>
              <w:right w:val="single" w:sz="4" w:color="1A56C0" w:space="0"/>
            </w:tcBorders>
          </w:tcPr>
          <w:p>
            <w:pPr>
              <w:jc w:val="center"/>
            </w:pPr>
            <w:r>
              <w:rPr>
                <w:rFonts w:ascii="Poppins" w:hAnsi="Poppins"/>
                <w:b/>
                <w:color w:val="FFFFFF"/>
                <w:sz w:val="26"/>
              </w:rPr>
              <w:t>5</w:t>
            </w:r>
          </w:p>
        </w:tc>
        <w:tc>
          <w:tcPr>
            <w:tcW w:type="dxa" w:w="7937"/>
            <w:shd w:val="clear" w:color="auto" w:fill="F5F5F5"/>
            <w:vAlign w:val="center"/>
            <w:tcBorders>
              <w:top w:val="single" w:sz="4" w:color="F5F5F5" w:space="0"/>
              <w:left w:val="single" w:sz="4" w:color="F5F5F5" w:space="0"/>
              <w:bottom w:val="single" w:sz="12" w:color="DC2626" w:space="0"/>
              <w:right w:val="single" w:sz="4" w:color="F5F5F5" w:space="0"/>
            </w:tcBorders>
          </w:tcPr>
          <w:p>
            <w:r>
              <w:rPr>
                <w:rFonts w:ascii="Poppins" w:hAnsi="Poppins"/>
                <w:b/>
                <w:color w:val="000000"/>
                <w:sz w:val="26"/>
              </w:rPr>
              <w:t xml:space="preserve">  PARA SEGUIR LEYENDO</w:t>
            </w:r>
          </w:p>
        </w:tc>
      </w:tr>
    </w:tbl>
    <w:p/>
    <w:p/>
    <w:p>
      <w:pPr>
        <w:ind w:left="283"/>
      </w:pPr>
      <w:r>
        <w:rPr>
          <w:rFonts w:ascii="Arial" w:hAnsi="Arial"/>
          <w:b/>
          <w:color w:val="DC2626"/>
          <w:sz w:val="22"/>
        </w:rPr>
        <w:t xml:space="preserve">•  </w:t>
      </w:r>
      <w:r>
        <w:rPr>
          <w:rFonts w:ascii="Arial" w:hAnsi="Arial"/>
          <w:color w:val="DC2626"/>
          <w:sz w:val="22"/>
          <w:u w:val="single"/>
        </w:rPr>
        <w:t>Ley 25.506 — Firma Digital (Infoleg)</w:t>
      </w:r>
      <w:r>
        <w:rPr>
          <w:rFonts w:ascii="Arial" w:hAnsi="Arial"/>
          <w:color w:val="666666"/>
          <w:sz w:val="16"/>
        </w:rPr>
        <w:t xml:space="preserve"> (https://servicios.infoleg.gob.ar/infolegInternet/anexos/70000-74999/70749/norma.htm)</w:t>
      </w:r>
    </w:p>
    <w:p>
      <w:pPr>
        <w:ind w:left="283"/>
      </w:pPr>
      <w:r>
        <w:rPr>
          <w:rFonts w:ascii="Arial" w:hAnsi="Arial"/>
          <w:b/>
          <w:color w:val="DC2626"/>
          <w:sz w:val="22"/>
        </w:rPr>
        <w:t xml:space="preserve">•  </w:t>
      </w:r>
      <w:r>
        <w:rPr>
          <w:rFonts w:ascii="Arial" w:hAnsi="Arial"/>
          <w:color w:val="DC2626"/>
          <w:sz w:val="22"/>
          <w:u w:val="single"/>
        </w:rPr>
        <w:t>Repositorio oficial de DocuSeal en GitHub</w:t>
      </w:r>
      <w:r>
        <w:rPr>
          <w:rFonts w:ascii="Arial" w:hAnsi="Arial"/>
          <w:color w:val="666666"/>
          <w:sz w:val="16"/>
        </w:rPr>
        <w:t xml:space="preserve"> (https://github.com/docusealco/docuseal)</w:t>
      </w:r>
    </w:p>
    <w:p>
      <w:pPr>
        <w:ind w:left="283"/>
      </w:pPr>
      <w:r>
        <w:rPr>
          <w:rFonts w:ascii="Arial" w:hAnsi="Arial"/>
          <w:b/>
          <w:color w:val="DC2626"/>
          <w:sz w:val="22"/>
        </w:rPr>
        <w:t xml:space="preserve">•  </w:t>
      </w:r>
      <w:r>
        <w:rPr>
          <w:rFonts w:ascii="Arial" w:hAnsi="Arial"/>
          <w:color w:val="DC2626"/>
          <w:sz w:val="22"/>
          <w:u w:val="single"/>
        </w:rPr>
        <w:t>Normativa actualizada de Firma Digital — argentina.gob.ar</w:t>
      </w:r>
      <w:r>
        <w:rPr>
          <w:rFonts w:ascii="Arial" w:hAnsi="Arial"/>
          <w:color w:val="666666"/>
          <w:sz w:val="16"/>
        </w:rPr>
        <w:t xml:space="preserve"> (https://www.argentina.gob.ar/jefatura/innovacion-ciencia-y-tecnologia/innovacion/firma-digital/normativa-de-firma-digital)</w:t>
      </w:r>
    </w:p>
    <w:p>
      <w:pPr>
        <w:ind w:left="283"/>
      </w:pPr>
      <w:r>
        <w:rPr>
          <w:rFonts w:ascii="Arial" w:hAnsi="Arial"/>
          <w:b/>
          <w:color w:val="DC2626"/>
          <w:sz w:val="22"/>
        </w:rPr>
        <w:t xml:space="preserve">•  </w:t>
      </w:r>
      <w:r>
        <w:rPr>
          <w:rFonts w:ascii="Arial" w:hAnsi="Arial"/>
          <w:color w:val="DC2626"/>
          <w:sz w:val="22"/>
          <w:u w:val="single"/>
        </w:rPr>
        <w:t>Tarifas oficiales DocuSign 2026 (G2)</w:t>
      </w:r>
      <w:r>
        <w:rPr>
          <w:rFonts w:ascii="Arial" w:hAnsi="Arial"/>
          <w:color w:val="666666"/>
          <w:sz w:val="16"/>
        </w:rPr>
        <w:t xml:space="preserve"> (https://www.g2.com/products/docusign/pricing)</w:t>
      </w:r>
    </w:p>
    <w:p>
      <w:pPr>
        <w:ind w:left="283"/>
      </w:pPr>
      <w:r>
        <w:rPr>
          <w:rFonts w:ascii="Arial" w:hAnsi="Arial"/>
          <w:b/>
          <w:color w:val="DC2626"/>
          <w:sz w:val="22"/>
        </w:rPr>
        <w:t xml:space="preserve">•  </w:t>
      </w:r>
      <w:r>
        <w:rPr>
          <w:rFonts w:ascii="Arial" w:hAnsi="Arial"/>
          <w:color w:val="DC2626"/>
          <w:sz w:val="22"/>
          <w:u w:val="single"/>
        </w:rPr>
        <w:t>El contrato de licencias que nadie lee — blog UMSA</w:t>
      </w:r>
      <w:r>
        <w:rPr>
          <w:rFonts w:ascii="Arial" w:hAnsi="Arial"/>
          <w:color w:val="666666"/>
          <w:sz w:val="16"/>
        </w:rPr>
        <w:t xml:space="preserve"> (https://www.ultimamilla.com.ar/blog/el-contrato-de-licencias-que-nadie-lee-la-renovacion-que-cobra-despues)</w:t>
      </w:r>
    </w:p>
    <w:p/>
    <w:p/>
    <w:p>
      <w:pPr>
        <w:pBdr>
          <w:bottom w:val="single" w:sz="6" w:space="4" w:color="333333"/>
        </w:pBdr>
      </w:pPr>
    </w:p>
    <w:p>
      <w:r>
        <w:rPr>
          <w:rFonts w:ascii="Poppins" w:hAnsi="Poppins"/>
          <w:b/>
          <w:color w:val="000000"/>
          <w:sz w:val="22"/>
        </w:rPr>
        <w:t>Editorial ULTIMA MILLA S.A.</w:t>
      </w:r>
    </w:p>
    <w:p>
      <w:r>
        <w:rPr>
          <w:rFonts w:ascii="Arial" w:hAnsi="Arial"/>
          <w:i/>
          <w:color w:val="666666"/>
          <w:sz w:val="20"/>
        </w:rPr>
        <w:t>Blog corporativo · www.ultimamilla.com.ar/blog</w:t>
      </w:r>
    </w:p>
    <w:p>
      <w:r>
        <w:rPr>
          <w:rFonts w:ascii="Arial" w:hAnsi="Arial"/>
          <w:color w:val="666666"/>
          <w:sz w:val="18"/>
        </w:rPr>
        <w:t>ULTIMA MILLA S.A. · CUIT 30-71008591-5 · Mendoza, Argentina</w:t>
      </w:r>
    </w:p>
    <w:sectPr w:rsidR="00FC693F" w:rsidRPr="0006063C" w:rsidSect="00034616">
      <w:headerReference w:type="default" r:id="rId9"/>
      <w:footerReference w:type="default" r:id="rId10"/>
      <w:pgSz w:w="12240" w:h="15840"/>
      <w:pgMar w:top="119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04" w:val="right"/>
      </w:tabs>
    </w:pPr>
    <w:r>
      <w:rPr>
        <w:rFonts w:ascii="Poppins" w:hAnsi="Poppins"/>
        <w:b/>
        <w:color w:val="DC2626"/>
        <w:sz w:val="16"/>
      </w:rPr>
      <w:t>www.ultimamilla.com.ar</w:t>
    </w:r>
    <w:r>
      <w:tab/>
    </w:r>
    <w:r>
      <w:rPr>
        <w:rFonts w:ascii="Arial" w:hAnsi="Arial"/>
        <w:color w:val="666666"/>
        <w:sz w:val="14"/>
      </w:rPr>
      <w:t>BLOG-051/2026  —  Mendoza, Argentina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pBdr>
        <w:bottom w:val="single" w:sz="8" w:space="4" w:color="DC2626"/>
      </w:pBdr>
    </w:pPr>
    <w:r>
      <w:rPr>
        <w:rFonts w:ascii="Poppins" w:hAnsi="Poppins"/>
        <w:b/>
        <w:color w:val="000000"/>
        <w:sz w:val="18"/>
      </w:rPr>
      <w:t>ultimamilla</w:t>
    </w:r>
    <w:r>
      <w:rPr>
        <w:rFonts w:ascii="Poppins" w:hAnsi="Poppins"/>
        <w:b/>
        <w:color w:val="DC2626"/>
        <w:sz w:val="18"/>
      </w:rPr>
      <w:t>.</w:t>
    </w:r>
    <w:r>
      <w:rPr>
        <w:rFonts w:ascii="Poppins" w:hAnsi="Poppins"/>
        <w:b/>
        <w:color w:val="000000"/>
        <w:sz w:val="18"/>
      </w:rPr>
      <w:t>com</w:t>
    </w:r>
    <w:r>
      <w:rPr>
        <w:rFonts w:ascii="Poppins" w:hAnsi="Poppins"/>
        <w:b/>
        <w:color w:val="DC2626"/>
        <w:sz w:val="18"/>
      </w:rPr>
      <w:t>.</w:t>
    </w:r>
    <w:r>
      <w:rPr>
        <w:rFonts w:ascii="Poppins" w:hAnsi="Poppins"/>
        <w:b/>
        <w:color w:val="000000"/>
        <w:sz w:val="18"/>
      </w:rPr>
      <w:t>ar</w:t>
    </w:r>
    <w:r>
      <w:tab/>
    </w:r>
    <w:r>
      <w:rPr>
        <w:rFonts w:ascii="Arial" w:hAnsi="Arial"/>
        <w:color w:val="666666"/>
        <w:sz w:val="16"/>
      </w:rPr>
      <w:t>NOTA BLOG-051/2026  —  Blog UMSA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