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</w:pPr>
      <w:r>
        <w:t xml:space="preserve">EJEMPLO FICTICIO · DEMO-2026/01 · SIN VALIDEZ COMERCIAL</w:t>
      </w:r>
    </w:p>
    <w:p>
      <w:pPr>
        <w:pStyle w:val="Title"/>
      </w:pPr>
      <w:r>
        <w:t>Propuesta técnica y económica</w:t>
      </w:r>
    </w:p>
    <w:p>
      <w:pPr>
        <w:pStyle w:val="Subtitle"/>
      </w:pPr>
      <w:r>
        <w:t xml:space="preserve">Red de datos y puesta en servicio del Centro Operativo Cuyo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Destinatario</w:t>
        <w:tab/>
      </w:r>
      <w:r>
        <w:t>Centro Operativo Cuyo (ficticio)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Proyecto</w:t>
        <w:tab/>
      </w:r>
      <w:r>
        <w:t>Red de datos y puesta en servicio</w:t>
      </w:r>
    </w:p>
    <w:p>
      <w:pPr>
        <w:tabs>
          <w:tab w:pos="1701" w:val="left"/>
        </w:tabs>
        <w:spacing w:after="100"/>
      </w:pPr>
      <w:r>
        <w:rPr>
          <w:color w:val="666666"/>
          <w:sz w:val="20"/>
        </w:rPr>
        <w:t>Fecha</w:t>
        <w:tab/>
      </w:r>
      <w:r>
        <w:t>09/10/2026</w:t>
      </w:r>
    </w:p>
    <w:p>
      <w:pPr>
        <w:pStyle w:val="Heading1"/>
      </w:pPr>
      <w:r>
        <w:t>Presentación de la oferta</w:t>
      </w:r>
    </w:p>
    <w:p>
      <w:r>
        <w:t xml:space="preserve">Esta oferta de ejemplo reúne el alcance técnico, el plan de trabajo y la inversión para la red de datos de un centro operativo ficticio. Incluye instalación, configuración, pruebas y documentación de entrega.</w:t>
      </w:r>
    </w:p>
    <w:p>
      <w:pPr>
        <w:pStyle w:val="Heading1"/>
      </w:pPr>
      <w:r>
        <w:t>Objeto y alcance de la contratación</w:t>
      </w:r>
    </w:p>
    <w:p>
      <w:pPr>
        <w:pStyle w:val="Heading2"/>
        <w:spacing w:before="160"/>
      </w:pPr>
      <w:r>
        <w:t>Alcance incluido</w:t>
      </w:r>
    </w:p>
    <w:p>
      <w:r>
        <w:t xml:space="preserve">Se prevé instalar dos equipos de acceso, conectar doce enlaces y configurar la red del centro. La prestación comprende el inventario inicial, la identificación de puertos y la verificación de conectividad de los puestos incluidos.</w:t>
      </w:r>
    </w:p>
    <w:p>
      <w:pPr>
        <w:pStyle w:val="Heading2"/>
      </w:pPr>
      <w:r>
        <w:t>Requisitos y referencias del pliego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1814"/>
        <w:gridCol w:w="7540"/>
      </w:tblGrid>
      <w:tr>
        <w:trPr>
          <w:cantSplit/>
          <w:tblHeader/>
        </w:trPr>
        <w:tc>
          <w:tcPr>
            <w:tcW w:type="dxa" w:w="1814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Referencia</w:t>
            </w:r>
          </w:p>
        </w:tc>
        <w:tc>
          <w:tcPr>
            <w:tcW w:type="dxa" w:w="7540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Respuesta de la oferta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2.1 · Alcance</w:t>
            </w:r>
          </w:p>
        </w:tc>
        <w:tc>
          <w:tcPr>
            <w:tcW w:type="dxa" w:w="7540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Dos equipos de acceso y doce enlaces incluidos.</w:t>
            </w:r>
          </w:p>
        </w:tc>
      </w:tr>
      <w:tr>
        <w:trPr>
          <w:cantSplit/>
        </w:trPr>
        <w:tc>
          <w:tcPr>
            <w:tcW w:type="dxa" w:w="1814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3.2 · Entrega</w:t>
            </w:r>
          </w:p>
        </w:tc>
        <w:tc>
          <w:tcPr>
            <w:tcW w:type="dxa" w:w="7540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Inventario, plano de red y acta de pruebas.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Supuestos y exclusiones</w:t>
      </w:r>
    </w:p>
    <w:p>
      <w:r>
        <w:t xml:space="preserve">El centro facilitará acceso a las salas técnicas, energía y los puntos de conexión existentes. Las obras civiles, los enlaces del proveedor de internet y los equipos de usuario quedan fuera del alcance de este ejemplo.</w:t>
      </w:r>
    </w:p>
    <w:p>
      <w:pPr>
        <w:pStyle w:val="Heading1"/>
        <w:pageBreakBefore/>
      </w:pPr>
      <w:r>
        <w:t>Solución técnica y plan de trabajo</w:t>
      </w:r>
    </w:p>
    <w:p>
      <w:pPr>
        <w:pStyle w:val="Heading2"/>
        <w:spacing w:before="160"/>
      </w:pPr>
      <w:r>
        <w:t>Arquitectura y especificaciones</w:t>
      </w:r>
    </w:p>
    <w:p>
      <w:r>
        <w:t xml:space="preserve">Los equipos de acceso se conectarán al núcleo existente. La configuración separará la operación de la administración y registrará los puertos, las direcciones y los parámetros acordados. El plano final reflejará la instalación ejecutada.</w:t>
      </w:r>
    </w:p>
    <w:p>
      <w:pPr>
        <w:pStyle w:val="Imagencentrada"/>
        <w:keepNext/>
        <w:spacing w:after="120"/>
      </w:pPr>
      <w:r>
        <w:drawing>
          <wp:inline xmlns:a="http://schemas.openxmlformats.org/drawingml/2006/main" xmlns:pic="http://schemas.openxmlformats.org/drawingml/2006/picture">
            <wp:extent cx="2952000" cy="1610182"/>
            <wp:docPr id="1" name="Picture 1" descr="Ilustración de un panel de conexiones de red sobre fondo transparente" title="1.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2000" cy="161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mentariodeimagen"/>
        <w:ind w:left="709" w:right="709"/>
      </w:pPr>
      <w:r>
        <w:rPr>
          <w:b/>
        </w:rPr>
        <w:t xml:space="preserve">Panel de conexiones. </w:t>
      </w:r>
      <w:r>
        <w:rPr/>
        <w:t xml:space="preserve">Imagen de referencia para los enlaces de acceso del ejemplo. No identifica un modelo ni una prestación ofrecida.</w:t>
      </w:r>
    </w:p>
    <w:p>
      <w:pPr>
        <w:pStyle w:val="Heading3"/>
      </w:pPr>
      <w:r>
        <w:t>Requisitos de instalación y puesta en servicio</w:t>
      </w:r>
    </w:p>
    <w:p>
      <w:r>
        <w:t xml:space="preserve">Antes de intervenir se comprobarán alimentación, espacio de montaje y disponibilidad de los enlaces. La puesta en servicio se realizará en una ventana acordada, con una copia de la configuración previa y una secuencia de retorno.</w:t>
      </w:r>
    </w:p>
    <w:p>
      <w:pPr>
        <w:pStyle w:val="Heading2"/>
      </w:pPr>
      <w:r>
        <w:t>Entregables y aceptación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3515"/>
        <w:gridCol w:w="5839"/>
      </w:tblGrid>
      <w:tr>
        <w:trPr>
          <w:cantSplit/>
          <w:tblHeader/>
        </w:trPr>
        <w:tc>
          <w:tcPr>
            <w:tcW w:type="dxa" w:w="3515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Entregable</w:t>
            </w:r>
          </w:p>
        </w:tc>
        <w:tc>
          <w:tcPr>
            <w:tcW w:type="dxa" w:w="5839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Evidencia de aceptación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Configuración y plano de red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Copia de configuración y plano conforme a la instalación.</w:t>
            </w:r>
          </w:p>
        </w:tc>
      </w:tr>
      <w:tr>
        <w:trPr>
          <w:cantSplit/>
        </w:trPr>
        <w:tc>
          <w:tcPr>
            <w:tcW w:type="dxa" w:w="351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Pruebas de conectividad</w:t>
            </w:r>
          </w:p>
        </w:tc>
        <w:tc>
          <w:tcPr>
            <w:tcW w:type="dxa" w:w="5839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Registro de resultados y acta de aceptación.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2"/>
      </w:pPr>
      <w:r>
        <w:t>Cronograma y responsables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4195"/>
        <w:gridCol w:w="1757"/>
        <w:gridCol w:w="3402"/>
      </w:tblGrid>
      <w:tr>
        <w:trPr>
          <w:cantSplit/>
          <w:tblHeader/>
        </w:trPr>
        <w:tc>
          <w:tcPr>
            <w:tcW w:type="dxa" w:w="4195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Etapa</w:t>
            </w:r>
          </w:p>
        </w:tc>
        <w:tc>
          <w:tcPr>
            <w:tcW w:type="dxa" w:w="1757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Plazo</w:t>
            </w:r>
          </w:p>
        </w:tc>
        <w:tc>
          <w:tcPr>
            <w:tcW w:type="dxa" w:w="3402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Responsable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Relevamiento y preparación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Días 1 y 2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Equipo de proyectos</w:t>
            </w:r>
          </w:p>
        </w:tc>
      </w:tr>
      <w:tr>
        <w:trPr>
          <w:cantSplit/>
        </w:trPr>
        <w:tc>
          <w:tcPr>
            <w:tcW w:type="dxa" w:w="4195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Instalación, pruebas y entrega</w:t>
            </w:r>
          </w:p>
        </w:tc>
        <w:tc>
          <w:tcPr>
            <w:tcW w:type="dxa" w:w="1757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Días 3 a 10</w:t>
            </w:r>
          </w:p>
        </w:tc>
        <w:tc>
          <w:tcPr>
            <w:tcW w:type="dxa" w:w="3402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Equipo técnico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pStyle w:val="Heading1"/>
        <w:pageBreakBefore/>
      </w:pPr>
      <w:r>
        <w:t>Oferta económica</w:t>
      </w:r>
    </w:p>
    <w:p>
      <w:r>
        <w:t xml:space="preserve">Moneda: USD    Impuestos simulados del ejemplo: USD 210,00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insideH w:val="single" w:sz="4" w:color="D9D9D9"/>
          <w:left w:val="single" w:sz="4" w:color="D9D9D9"/>
          <w:right w:val="single" w:sz="4" w:color="D9D9D9"/>
          <w:insideV w:val="single" w:sz="4" w:color="D9D9D9"/>
        </w:tblBorders>
        <w:tblInd w:w="160" w:type="dxa"/>
        <w:tblCellMar>
          <w:top w:w="140" w:type="dxa"/>
          <w:bottom w:w="140" w:type="dxa"/>
          <w:left w:w="160" w:type="dxa"/>
          <w:right w:w="160" w:type="dxa"/>
        </w:tblCellMar>
      </w:tblPr>
      <w:tblGrid>
        <w:gridCol w:w="907"/>
        <w:gridCol w:w="3458"/>
        <w:gridCol w:w="1020"/>
        <w:gridCol w:w="1984"/>
        <w:gridCol w:w="1984"/>
      </w:tblGrid>
      <w:tr>
        <w:trPr>
          <w:cantSplit/>
          <w:tblHeader/>
        </w:trPr>
        <w:tc>
          <w:tcPr>
            <w:tcW w:type="dxa" w:w="907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Ítem</w:t>
            </w:r>
          </w:p>
        </w:tc>
        <w:tc>
          <w:tcPr>
            <w:tcW w:type="dxa" w:w="3458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Concepto</w:t>
            </w:r>
          </w:p>
        </w:tc>
        <w:tc>
          <w:tcPr>
            <w:tcW w:type="dxa" w:w="1020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Cant.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Unitario</w:t>
            </w:r>
          </w:p>
        </w:tc>
        <w:tc>
          <w:tcPr>
            <w:tcW w:type="dxa" w:w="1984"/>
            <w:vAlign w:val="center"/>
            <w:shd w:fill="F0F0F0"/>
          </w:tcPr>
          <w:p>
            <w:pPr>
              <w:spacing w:after="0" w:line="288" w:lineRule="auto"/>
              <w:jc w:val="left"/>
            </w:pPr>
            <w:r>
              <w:rPr>
                <w:b/>
                <w:color w:val="000000"/>
                <w:sz w:val="21"/>
              </w:rPr>
              <w:t>Importe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 xml:space="preserve">1</w:t>
            </w:r>
          </w:p>
        </w:tc>
        <w:tc>
          <w:tcPr>
            <w:tcW w:type="dxa" w:w="3458"/>
            <w:vAlign w:val="center"/>
            <w:shd w:fill="FFFFFF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Instalación de equipos y verificación funcional</w:t>
            </w:r>
          </w:p>
        </w:tc>
        <w:tc>
          <w:tcPr>
            <w:tcW w:type="dxa" w:w="1020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2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1.250,56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2.501,12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 xml:space="preserve">2</w:t>
            </w:r>
          </w:p>
        </w:tc>
        <w:tc>
          <w:tcPr>
            <w:tcW w:type="dxa" w:w="3458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Configuración y documentación técnica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3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450,00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1.350,00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5F5F5"/>
          </w:tcPr>
          <w:p>
            <w:pPr>
              <w:spacing w:after="0" w:line="288" w:lineRule="auto"/>
              <w:jc w:val="center"/>
            </w:pPr>
            <w:r>
              <w:rPr>
                <w:b w:val="0"/>
                <w:color w:val="333333"/>
                <w:sz w:val="21"/>
              </w:rPr>
              <w:t xml:space="preserve">3</w:t>
            </w:r>
          </w:p>
        </w:tc>
        <w:tc>
          <w:tcPr>
            <w:tcW w:type="dxa" w:w="3458"/>
            <w:vAlign w:val="center"/>
            <w:shd w:fill="F5F5F5"/>
          </w:tcPr>
          <w:p>
            <w:pPr>
              <w:spacing w:after="0" w:line="288" w:lineRule="auto"/>
              <w:jc w:val="left"/>
            </w:pPr>
            <w:r>
              <w:rPr>
                <w:b w:val="0"/>
                <w:color w:val="333333"/>
                <w:sz w:val="21"/>
              </w:rPr>
              <w:t xml:space="preserve">Materiales de conexión y pruebas de enlaces</w:t>
            </w:r>
          </w:p>
        </w:tc>
        <w:tc>
          <w:tcPr>
            <w:tcW w:type="dxa" w:w="1020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12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120,25</w:t>
            </w:r>
          </w:p>
        </w:tc>
        <w:tc>
          <w:tcPr>
            <w:tcW w:type="dxa" w:w="1984"/>
            <w:vAlign w:val="center"/>
            <w:shd w:fill="F5F5F5"/>
          </w:tcPr>
          <w:p>
            <w:pPr>
              <w:spacing w:after="0" w:line="288" w:lineRule="auto"/>
              <w:jc w:val="right"/>
            </w:pPr>
            <w:r>
              <w:rPr>
                <w:b w:val="0"/>
                <w:color w:val="333333"/>
                <w:sz w:val="21"/>
              </w:rPr>
              <w:t xml:space="preserve">1.443,00</w:t>
            </w:r>
          </w:p>
        </w:tc>
      </w:tr>
    </w:tbl>
    <w:p>
      <w:pPr>
        <w:spacing w:after="0" w:before="0" w:line="60" w:lineRule="exact"/>
      </w:pPr>
      <w:r>
        <w:rPr>
          <w:sz w:val="6"/>
        </w:rPr>
      </w:r>
    </w:p>
    <w:p>
      <w:pPr>
        <w:jc w:val="right"/>
      </w:pPr>
      <w:r>
        <w:t xml:space="preserve">Subtotal: USD 5.294,12</w:t>
        <w:br/>
        <w:t xml:space="preserve">Impuestos del ejemplo: USD 210,00</w:t>
        <w:br/>
        <w:t xml:space="preserve">Total de la oferta: USD 5.504,12</w:t>
      </w:r>
    </w:p>
    <w:p>
      <w:r>
        <w:t xml:space="preserve">La planilla económica adjunta contiene los mismos tres renglones y totales. Todos los importes son ficticios y sirven para comprobar la composición y el cálculo de las plantillas.</w:t>
      </w:r>
    </w:p>
    <w:p>
      <w:pPr>
        <w:pStyle w:val="Heading1"/>
        <w:pageBreakBefore/>
      </w:pPr>
      <w:r>
        <w:t>Condiciones comerciales y documentación</w:t>
      </w:r>
    </w:p>
    <w:p>
      <w:pPr>
        <w:pStyle w:val="Heading2"/>
        <w:spacing w:before="160"/>
      </w:pPr>
      <w:r>
        <w:t>Validez de la oferta</w:t>
      </w:r>
    </w:p>
    <w:p>
      <w:r>
        <w:t xml:space="preserve">Para este ejemplo se utiliza una validez de treinta días desde la fecha de emisión. El modelo no constituye una oferta comercial.</w:t>
      </w:r>
    </w:p>
    <w:p>
      <w:pPr>
        <w:pStyle w:val="Heading2"/>
      </w:pPr>
      <w:r>
        <w:t>Forma de pago y entrega</w:t>
      </w:r>
    </w:p>
    <w:p>
      <w:r>
        <w:t xml:space="preserve">El ejemplo contempla pago a la aceptación y entrega en las instalaciones del centro, diez días hábiles después de habilitar el acceso y confirmar la ventana de intervención.</w:t>
      </w:r>
    </w:p>
    <w:p>
      <w:pPr>
        <w:pStyle w:val="Heading2"/>
      </w:pPr>
      <w:r>
        <w:t>Garantía y soporte</w:t>
      </w:r>
    </w:p>
    <w:p>
      <w:r>
        <w:t xml:space="preserve">La documentación de entrega incluirá el canal de contacto y las condiciones de atención acordadas para la instalación. No se presupuestan prestaciones de soporte permanente en este ejemplo.</w:t>
      </w:r>
    </w:p>
    <w:p>
      <w:pPr>
        <w:pStyle w:val="Heading2"/>
      </w:pPr>
      <w:r>
        <w:t>Documentación y contacto</w:t>
      </w:r>
    </w:p>
    <w:p>
      <w:r>
        <w:t xml:space="preserve">Anexos del ejemplo: plan de trabajo, inventario, plano de red y planilla económica. Referente: Equipo de Proyectos del Centro Operativo Cuyo, una organización ficticia utilizada para mostrar el documento completo.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57" w:right="1134" w:bottom="1361" w:left="1417" w:header="794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UM Sans 2">
    <w:embedRegular w:fontKey="{4E1D3F19-A153-54B3-B9C1-4858EC1B3957}" r:id="rIdUM0"/>
    <w:embedBold w:fontKey="{737910E3-8903-5528-8B23-3286BE8CF6EA}" r:id="rIdUM1"/>
    <w:embedItalic w:fontKey="{C0E68218-452B-5DB6-AD34-85F245143B68}" r:id="rIdUM2"/>
    <w:embedBoldItalic w:fontKey="{F80D06A1-4BDB-53CE-B66B-3A69CBE517AE}" r:id="rIdUM3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  <w:pBdr>
        <w:top w:val="single" w:sz="4" w:space="6" w:color="DDDDDD"/>
      </w:pBdr>
    </w:pPr>
    <w:r>
      <w:t>ULTIMA MILLA S.A. · ultimamilla.com.ar</w:t>
      <w:tab/>
    </w:r>
    <w:fldSimple w:instr="PAGE">
      <w:r>
        <w:t>1</w:t>
      </w:r>
    </w:fldSimple>
    <w:r>
      <w:t xml:space="preserve"> /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360" w:lineRule="exact"/>
      <w:jc w:val="right"/>
      <w:pBdr>
        <w:bottom w:val="single" w:sz="6" w:space="7" w:color="DC2626"/>
      </w:pBdr>
    </w:pPr>
    <w:r>
      <w:drawing>
        <wp:anchor distT="0" distB="0" distL="0" distR="0" simplePos="0" relativeHeight="0" behindDoc="0" locked="1" layoutInCell="1" allowOverlap="1">
          <wp:simplePos x="0" y="0"/>
          <wp:positionH relativeFrom="margin">
            <wp:align>right</wp:align>
          </wp:positionH>
          <wp:positionV relativeFrom="paragraph">
            <wp:posOffset>0</wp:posOffset>
          </wp:positionV>
          <wp:extent cx="1944000" cy="172321"/>
          <wp:effectExtent l="0" t="0" r="0" b="0"/>
          <wp:wrapNone/>
          <wp:docPr id="1" name="Picture 1" descr="Logotipo de ULTIMA MILLA"/>
          <wp:cNvGraphicFramePr xmlns:a="http://schemas.openxmlformats.org/drawingml/2006/main">
            <a:graphicFrameLocks noChangeAspect="1"/>
          </wp:cNvGraphicFramePr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UMVector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4000" cy="172321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multiLevelType w:val="multilevel"/>
    <w:lvl w:ilvl="0">
      <w:start w:val="1"/>
      <w:numFmt w:val="decimal"/>
      <w:pStyle w:val="Heading1"/>
      <w:lvlText w:val="%1."/>
      <w:suff w:val="space"/>
      <w:lvlJc w:val="left"/>
      <w:pPr>
        <w:ind w:left="0" w:hanging="0"/>
      </w:pPr>
      <w:rPr>
        <w:rFonts w:ascii="UM Sans 2" w:hAnsi="UM Sans 2" w:cs="UM Sans 2" w:eastAsia="UM Sans 2"/>
        <w:sz w:val="32"/>
        <w:b/>
        <w:color w:val="000000"/>
      </w:rPr>
    </w:lvl>
    <w:lvl w:ilvl="1">
      <w:start w:val="1"/>
      <w:numFmt w:val="decimal"/>
      <w:pStyle w:val="Heading2"/>
      <w:lvlText w:val="%1.%2."/>
      <w:suff w:val="space"/>
      <w:lvlJc w:val="left"/>
      <w:lvlRestart w:val="1"/>
      <w:pPr>
        <w:ind w:left="0" w:hanging="0"/>
      </w:pPr>
      <w:rPr>
        <w:rFonts w:ascii="UM Sans 2" w:hAnsi="UM Sans 2" w:cs="UM Sans 2" w:eastAsia="UM Sans 2"/>
        <w:sz w:val="26"/>
        <w:b/>
        <w:color w:val="000000"/>
      </w:rPr>
    </w:lvl>
    <w:lvl w:ilvl="2">
      <w:start w:val="1"/>
      <w:numFmt w:val="decimal"/>
      <w:pStyle w:val="Heading3"/>
      <w:lvlText w:val="%1.%2.%3."/>
      <w:suff w:val="space"/>
      <w:lvlJc w:val="left"/>
      <w:lvlRestart w:val="2"/>
      <w:pPr>
        <w:ind w:left="0" w:hanging="0"/>
      </w:pPr>
      <w:rPr>
        <w:rFonts w:ascii="UM Sans 2" w:hAnsi="UM Sans 2" w:cs="UM Sans 2" w:eastAsia="UM Sans 2"/>
        <w:sz w:val="24"/>
        <w:b/>
        <w:color w:val="000000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  <w:embedTrueType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spacing w:after="0" w:line="240" w:lineRule="auto" w:before="0"/>
    </w:pPr>
    <w:rPr>
      <w:rFonts w:ascii="UM Sans 2" w:hAnsi="UM Sans 2" w:cs="UM Sans 2" w:eastAsia="UM Sans 2"/>
      <w:b w:val="0"/>
      <w:i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20" w:line="288" w:lineRule="auto"/>
      <w:ind w:left="0" w:firstLine="0"/>
      <w:outlineLvl w:val="0"/>
      <w:numPr>
        <w:ilvl w:val="0"/>
        <w:numId w:val="42"/>
      </w:numPr>
    </w:pPr>
    <w:rPr>
      <w:rFonts w:ascii="UM Sans 2" w:hAnsi="UM Sans 2" w:cs="UM Sans 2" w:eastAsia="UM Sans 2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60" w:after="120" w:line="288" w:lineRule="auto"/>
      <w:ind w:left="0" w:firstLine="0"/>
      <w:outlineLvl w:val="1"/>
      <w:numPr>
        <w:ilvl w:val="1"/>
        <w:numId w:val="42"/>
      </w:numPr>
    </w:pPr>
    <w:rPr>
      <w:rFonts w:ascii="UM Sans 2" w:hAnsi="UM Sans 2" w:cs="UM Sans 2" w:eastAsia="UM Sans 2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320" w:after="120" w:line="288" w:lineRule="auto"/>
      <w:ind w:left="0" w:firstLine="0"/>
      <w:outlineLvl w:val="2"/>
      <w:numPr>
        <w:ilvl w:val="2"/>
        <w:numId w:val="42"/>
      </w:numPr>
    </w:pPr>
    <w:rPr>
      <w:rFonts w:ascii="UM Sans 2" w:hAnsi="UM Sans 2" w:cs="UM Sans 2" w:eastAsia="UM Sans 2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59" w:lineRule="auto" w:before="0"/>
      <w:contextualSpacing/>
    </w:pPr>
    <w:rPr>
      <w:rFonts w:ascii="UM Sans 2" w:hAnsi="UM Sans 2" w:cs="UM Sans 2" w:eastAsia="UM Sans 2"/>
      <w:b/>
      <w:i w:val="0"/>
      <w:color w:val="000000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i w:val="0"/>
      <w:color w:val="666666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88" w:lineRule="auto" w:after="160" w:before="0"/>
    </w:pPr>
    <w:rPr>
      <w:rFonts w:ascii="UM Sans 2" w:hAnsi="UM Sans 2" w:cs="UM Sans 2" w:eastAsia="UM Sans 2"/>
      <w:b w:val="0"/>
      <w:bCs/>
      <w:i w:val="0"/>
      <w:color w:val="66666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magencentrada">
    <w:name w:val="Imagen centrada"/>
    <w:basedOn w:val="Normal"/>
    <w:next w:val="Normal"/>
    <w:pPr>
      <w:keepNext/>
      <w:keepLines/>
      <w:widowControl/>
      <w:spacing w:line="240" w:lineRule="auto" w:before="360" w:after="120"/>
      <w:ind w:left="0" w:right="0" w:firstLine="0"/>
      <w:jc w:val="center"/>
    </w:pPr>
    <w:rPr>
      <w:rFonts w:ascii="UM Sans 2" w:hAnsi="UM Sans 2" w:cs="UM Sans 2" w:eastAsia="UM Sans 2"/>
      <w:b w:val="0"/>
      <w:i w:val="0"/>
      <w:color w:val="000000"/>
      <w:sz w:val="24"/>
    </w:rPr>
  </w:style>
  <w:style w:type="paragraph" w:customStyle="1" w:styleId="Comentariodeimagen">
    <w:name w:val="Comentario de imagen"/>
    <w:basedOn w:val="Normal"/>
    <w:next w:val="Normal"/>
    <w:pPr>
      <w:keepNext w:val="0"/>
      <w:keepLines/>
      <w:widowControl/>
      <w:spacing w:line="276" w:lineRule="auto" w:before="0" w:after="480"/>
      <w:ind w:left="0" w:right="0" w:firstLine="0"/>
      <w:jc w:val="center"/>
    </w:pPr>
    <w:rPr>
      <w:rFonts w:ascii="UM Sans 2" w:hAnsi="UM Sans 2" w:cs="UM Sans 2" w:eastAsia="UM Sans 2"/>
      <w:b w:val="0"/>
      <w:i w:val="0"/>
      <w:color w:val="333333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UM0" Type="http://schemas.openxmlformats.org/officeDocument/2006/relationships/font" Target="fonts/font0.odttf"/><Relationship Id="rIdUM1" Type="http://schemas.openxmlformats.org/officeDocument/2006/relationships/font" Target="fonts/font1.odttf"/><Relationship Id="rIdUM2" Type="http://schemas.openxmlformats.org/officeDocument/2006/relationships/font" Target="fonts/font2.odttf"/><Relationship Id="rIdUM3" Type="http://schemas.openxmlformats.org/officeDocument/2006/relationships/font" Target="fonts/font3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UMVector" Type="http://schemas.openxmlformats.org/officeDocument/2006/relationships/image" Target="media/um-brand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y económica</dc:title>
  <dc:subject>Plantilla de licitación con estilos y numeración multinivel</dc:subject>
  <dc:creator>ULTIMA MILLA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