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73333" w14:textId="77777777" w:rsidR="000368AA" w:rsidRDefault="000368AA" w:rsidP="000368AA">
      <w:r>
        <w:t>A regulatory spatial analysis team requires a reproducible operator-level liability footprint project that identifies how abandoned and suspended wells are distributed across licensees in Alberta. The objective is to transform well ownership, status, location, and operator information into a spatial decision-support product that shows which licensees carry the largest decommissioning obligations, how concentrated or scattered their wells are, and which operators may present higher orphan-well risk. The deliverable must focus on operator liability analysis, structured project organization, cartographic clarity, and reproducibility, producing outputs suitable for regulatory review, cleanup planning, communication, and technical reuse by other analysts.</w:t>
      </w:r>
    </w:p>
    <w:p w14:paraId="4CF41374" w14:textId="77777777" w:rsidR="000368AA" w:rsidRDefault="000368AA" w:rsidP="000368AA">
      <w:r>
        <w:t>Set the working project to EPSG:3400 (NAD83 / Alberta 10-TM Forest, metres) and use the provided starting asset Abandoned_Suspended_raw.shp, originally in EPSG:4269, to create a cleaned and persisted input layer named all_wells.gpkg. The analysis must retain both Abandoned and Suspension records because liability follows the Licensee regardless of the current well status. Use the Licensee field as the primary grouping field for all operator-level aggregation.</w:t>
      </w:r>
    </w:p>
    <w:p w14:paraId="4A9B2082" w14:textId="77777777" w:rsidR="000368AA" w:rsidRDefault="000368AA" w:rsidP="000368AA">
      <w:r>
        <w:t>The delivered project must produce licensee_centroids.gpkg and top50_licensee_footprints.gpkg as configured project components. licensee_centroids.gpkg must contain one feature per licensee, including total well count, abandoned count, suspended count, mean centroid location, dominant HQ city, province, dominant fluid type, and a clear size-tier classification. The tier logic must classify operators as Tier 1 for 1,000+ wells, Tier 2 for 100 to 999 wells, Tier 3 for 10 to 99 wells, and Tier 4 for fewer than 10 wells. top50_licensee_footprints.gpkg must represent spatial footprints for the largest operators and preserve attributes including Wells, AreaKm2, and Density.</w:t>
      </w:r>
    </w:p>
    <w:p w14:paraId="09170B78" w14:textId="77777777" w:rsidR="000368AA" w:rsidRDefault="000368AA" w:rsidP="000368AA">
      <w:r>
        <w:t xml:space="preserve">The analysis should explicitly support identifying dominant liability holders, long-tail small operators, concentrated single-play operators, and province-wide operators with scattered cleanup footprints. It must also preserve summary statistics such as total licensees, top-10 share, top-25 share, and Herfindahl-Hirschman Index so that operator concentration and orphan-well exposure can be interpreted clearly. </w:t>
      </w:r>
    </w:p>
    <w:p w14:paraId="6B16E734" w14:textId="6EBC23EF" w:rsidR="00FD392E" w:rsidRDefault="000368AA" w:rsidP="000368AA">
      <w:r>
        <w:t xml:space="preserve">The project must reproduce the provided reference, reference_layout.png, which is a clear map composition emphasizing all wells, top-50 operator footprints, and licensee centroids, with symbology that communicates operator scale, density, and liability tier. Deliver the final output as 02_Operator_Liability_Footprint.zip containing 02_Operator_Liability_Footprint.qgz, the </w:t>
      </w:r>
      <w:r>
        <w:t xml:space="preserve">mentioned </w:t>
      </w:r>
      <w:r>
        <w:t xml:space="preserve">Input and </w:t>
      </w:r>
      <w:r>
        <w:t>o</w:t>
      </w:r>
      <w:r>
        <w:t>utput</w:t>
      </w:r>
      <w:r>
        <w:t xml:space="preserve"> layers</w:t>
      </w:r>
      <w:r>
        <w:t xml:space="preserve">, and the reproduced reference layout material. The project file must open with no broken links, </w:t>
      </w:r>
      <w:r>
        <w:lastRenderedPageBreak/>
        <w:t>preserve all source paths, retain all configured analysis outputs, and remain fully reproducible by another analyst.</w:t>
      </w:r>
    </w:p>
    <w:p w14:paraId="0600B75D" w14:textId="77777777" w:rsidR="00AA7352" w:rsidRDefault="00AA7352" w:rsidP="000368AA"/>
    <w:p w14:paraId="312D44A8" w14:textId="77777777" w:rsidR="00AA7352" w:rsidRDefault="00AA7352" w:rsidP="000368AA"/>
    <w:p w14:paraId="5E5948EF" w14:textId="77777777" w:rsidR="00AA7352" w:rsidRDefault="00AA7352" w:rsidP="000368AA"/>
    <w:p w14:paraId="6FE380CB" w14:textId="77777777" w:rsidR="00AA7352" w:rsidRDefault="00AA7352" w:rsidP="000368AA"/>
    <w:p w14:paraId="36C2AB73" w14:textId="77777777" w:rsidR="00AA7352" w:rsidRDefault="00AA7352" w:rsidP="000368AA"/>
    <w:p w14:paraId="3417334F" w14:textId="77777777" w:rsidR="00AA7352" w:rsidRDefault="00AA7352" w:rsidP="000368AA"/>
    <w:p w14:paraId="316AD70E" w14:textId="77777777" w:rsidR="00AA7352" w:rsidRDefault="00AA7352" w:rsidP="000368AA"/>
    <w:p w14:paraId="3D70170C" w14:textId="77777777" w:rsidR="00AA7352" w:rsidRDefault="00AA7352" w:rsidP="000368AA"/>
    <w:p w14:paraId="42445BFE" w14:textId="77777777" w:rsidR="00AA7352" w:rsidRDefault="00AA7352" w:rsidP="000368AA"/>
    <w:p w14:paraId="70D5CBCE" w14:textId="77777777" w:rsidR="00AA7352" w:rsidRDefault="00AA7352" w:rsidP="000368AA"/>
    <w:p w14:paraId="601BBFA8" w14:textId="77777777" w:rsidR="00AA7352" w:rsidRDefault="00AA7352" w:rsidP="000368AA"/>
    <w:p w14:paraId="0FF07EB6" w14:textId="77777777" w:rsidR="00AA7352" w:rsidRDefault="00AA7352" w:rsidP="000368AA"/>
    <w:p w14:paraId="7D71B99E" w14:textId="77777777" w:rsidR="00AA7352" w:rsidRDefault="00AA7352" w:rsidP="000368AA"/>
    <w:p w14:paraId="6143BF73" w14:textId="77777777" w:rsidR="00AA7352" w:rsidRDefault="00AA7352" w:rsidP="000368AA"/>
    <w:p w14:paraId="533E0AB6" w14:textId="77777777" w:rsidR="00AA7352" w:rsidRDefault="00AA7352" w:rsidP="000368AA"/>
    <w:p w14:paraId="0D4B5C1C" w14:textId="77777777" w:rsidR="00AA7352" w:rsidRDefault="00AA7352" w:rsidP="000368AA"/>
    <w:p w14:paraId="29979C64" w14:textId="77777777" w:rsidR="00AA7352" w:rsidRDefault="00AA7352" w:rsidP="000368AA"/>
    <w:p w14:paraId="0F3DC7E7" w14:textId="77777777" w:rsidR="00AA7352" w:rsidRDefault="00AA7352" w:rsidP="000368AA"/>
    <w:p w14:paraId="0C93ADD1" w14:textId="77777777" w:rsidR="00AA7352" w:rsidRDefault="00AA7352" w:rsidP="000368AA"/>
    <w:p w14:paraId="7D6F9C7B" w14:textId="77777777" w:rsidR="00AA7352" w:rsidRDefault="00AA7352" w:rsidP="000368AA"/>
    <w:p w14:paraId="67C3BC50" w14:textId="77777777" w:rsidR="00AA7352" w:rsidRDefault="00AA7352" w:rsidP="000368AA"/>
    <w:p w14:paraId="631A5694" w14:textId="77777777" w:rsidR="00AA7352" w:rsidRDefault="00AA7352" w:rsidP="000368AA"/>
    <w:p w14:paraId="16356FEC" w14:textId="77777777" w:rsidR="00AA7352" w:rsidRDefault="00AA7352" w:rsidP="000368AA"/>
    <w:p w14:paraId="12F7F15B" w14:textId="77777777" w:rsidR="00AA7352" w:rsidRDefault="00AA7352" w:rsidP="000368AA"/>
    <w:p w14:paraId="4051C1E8" w14:textId="77777777" w:rsidR="00AA7352" w:rsidRPr="00AA7352" w:rsidRDefault="00AA7352" w:rsidP="00AA7352">
      <w:r w:rsidRPr="00AA7352">
        <w:lastRenderedPageBreak/>
        <w:t>A regulatory spatial analysis team requires a reproducible operator-level liability footprint project that identifies how abandoned and suspended wells are distributed across licensees in Alberta. The objective is to transform well ownership, status, location, and operator information into a spatial decision-support product that shows which licensees carry the largest decommissioning obligations, how concentrated or scattered their wells are, and which operators may present higher orphan-well risk. The deliverable must focus on operator liability analysis, structured project organization, cartographic clarity, and reproducibility, producing outputs suitable for regulatory review, cleanup planning, communication, and technical reuse by other analysts.</w:t>
      </w:r>
    </w:p>
    <w:p w14:paraId="1B88C5C3" w14:textId="7AE87365" w:rsidR="00AA7352" w:rsidRPr="00AA7352" w:rsidRDefault="00AA7352" w:rsidP="00AA7352">
      <w:r w:rsidRPr="00AA7352">
        <w:t xml:space="preserve">Set the working project to EPSG:3400 (NAD83 / Alberta 10-TM Forest, metres) and use the provided starting asset Abandoned_Suspended_raw.shp (including all required sidecar files) to create a cleaned and persisted input layer named all_wells.gpkg. The source dataset is originally in EPSG:4269 and must be reprojected to EPSG:3400 (NAD83 / Alberta 10-TM Forest, metres) </w:t>
      </w:r>
      <w:r>
        <w:t>before</w:t>
      </w:r>
      <w:r w:rsidRPr="00AA7352">
        <w:t xml:space="preserve"> any spatial or statistical analysis so that all distance and area calculations are performed in metres. The analysis must retain both Abandoned and Suspension records because liability follows the Licensee regardless of the current well status. Use the Licensee field as the primary grouping field for all operator-level aggregation, ensuring that all grouping is based on exact string matches without normalization.</w:t>
      </w:r>
    </w:p>
    <w:p w14:paraId="69179391" w14:textId="77777777" w:rsidR="00AA7352" w:rsidRPr="00AA7352" w:rsidRDefault="00AA7352" w:rsidP="00AA7352">
      <w:r w:rsidRPr="00AA7352">
        <w:t>The delivered project must produce licensee_centroids.gpkg and top50_licensee_footprints.gpkg as configured project components derived deterministically from all_wells.gpkg. licensee_centroids.gpkg must contain exactly one point feature per unique Licensee value, computed as the mean centroid of all wells belonging to that licensee using average X and Y coordinates in EPSG:3400. Each feature must include the following attributes: Wells (total well count), Abandoned (count where Status = 'Abandoned'), Suspended (count where Status = 'Suspension'), HQ_City and HQ_Province (most frequent values per licensee), Dominant_Fluid (most frequent Fluid value), and Tier. The Tier field must be assigned using fixed thresholds: Tier 1 for Wells ≥ 1000, Tier 2 for Wells between 100 and 999 inclusive, Tier 3 for Wells between 10 and 99 inclusive, and Tier 4 for Wells &lt; 10.</w:t>
      </w:r>
    </w:p>
    <w:p w14:paraId="488517B0" w14:textId="77777777" w:rsidR="00AA7352" w:rsidRPr="00AA7352" w:rsidRDefault="00AA7352" w:rsidP="00AA7352">
      <w:r w:rsidRPr="00AA7352">
        <w:t xml:space="preserve">top50_licensee_footprints.gpkg must represent spatial footprints for the largest operators defined as the top 50 licensees ranked by total well count. For each of these licensees, compute a convex hull polygon over all associated wells using a minimum bounding geometry approach. Each polygon must include attributes Wells (total well count), AreaKm2 (polygon area in square kilometres computed from EPSG:3400 geometry), and Density (Wells divided by AreaKm2). The number of polygons must equal 50, and each </w:t>
      </w:r>
      <w:r w:rsidRPr="00AA7352">
        <w:lastRenderedPageBreak/>
        <w:t>polygon must be directly traceable to a unique Licensee value present in licensee_centroids.gpkg.</w:t>
      </w:r>
    </w:p>
    <w:p w14:paraId="34EA9800" w14:textId="77777777" w:rsidR="00AA7352" w:rsidRPr="00AA7352" w:rsidRDefault="00AA7352" w:rsidP="00AA7352">
      <w:r w:rsidRPr="00AA7352">
        <w:t>The analysis must also compute and preserve operator-level summary statistics derived from all_wells.gpkg. These include total number of unique licensees, total well count, top-10 licensee share (sum of wells held by the top 10 licensees divided by total wells), top-25 share, and the Herfindahl–Hirschman Index (HHI), computed as the sum of squared market shares of each licensee where market share is defined as Wells divided by total wells. These statistics must be included either as attributes in a summary table or embedded within the project for direct inspection.</w:t>
      </w:r>
    </w:p>
    <w:p w14:paraId="26D60268" w14:textId="77777777" w:rsidR="00AA7352" w:rsidRPr="00AA7352" w:rsidRDefault="00AA7352" w:rsidP="00AA7352">
      <w:r w:rsidRPr="00AA7352">
        <w:t>The analysis should explicitly support identifying dominant liability holders, long-tail small operators, concentrated single-play operators, and province-wide operators with geographically dispersed wells. Spatial concentration must be interpretable using the relationship between centroid locations and footprint polygon extents, where large diagonal extents indicate geographically dispersed operators and small extents indicate localized operations.</w:t>
      </w:r>
    </w:p>
    <w:p w14:paraId="7B27116A" w14:textId="77777777" w:rsidR="00AA7352" w:rsidRPr="00AA7352" w:rsidRDefault="00AA7352" w:rsidP="00AA7352">
      <w:r w:rsidRPr="00AA7352">
        <w:t>The project must reproduce the provided reference_layout.png as a visual guide, but all layout elements must be natively constructed and editable. The layout must include all_wells as a base layer, top50_licensee_footprints symbolized by well count or density, and licensee_centroids symbolized by Tier classification. The map must include a title, legend, scale bar, and north arrow, and clearly communicate operator scale, spatial footprint, and liability tier without embedding the reference image.</w:t>
      </w:r>
    </w:p>
    <w:p w14:paraId="24D41435" w14:textId="77777777" w:rsidR="00AA7352" w:rsidRPr="00AA7352" w:rsidRDefault="00AA7352" w:rsidP="00AA7352">
      <w:r w:rsidRPr="00AA7352">
        <w:t>Deliver the final output as 02_Operator_Liability_Footprint.zip containing 02_Operator_Liability_Footprint.qgz, the complete input shapefile bundle, all_wells.gpkg, licensee_centroids.gpkg, top50_licensee_footprints.gpkg, and reference_layout.png. The project file must open with no broken links, all layer paths must be stored as relative paths within the archive, all configured analysis outputs must be preserved, and the entire workflow must remain fully reproducible by another analyst, with all results directly traceable to the original dataset and defined aggregation logic.</w:t>
      </w:r>
    </w:p>
    <w:p w14:paraId="20CD0561" w14:textId="77777777" w:rsidR="00AA7352" w:rsidRPr="000368AA" w:rsidRDefault="00AA7352" w:rsidP="000368AA"/>
    <w:sectPr w:rsidR="00AA7352" w:rsidRPr="000368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92E"/>
    <w:rsid w:val="000368AA"/>
    <w:rsid w:val="006E785E"/>
    <w:rsid w:val="009B4B8A"/>
    <w:rsid w:val="00AA7352"/>
    <w:rsid w:val="00AB6E05"/>
    <w:rsid w:val="00AF0BE0"/>
    <w:rsid w:val="00BD1CB7"/>
    <w:rsid w:val="00FC3B6E"/>
    <w:rsid w:val="00FD3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D1A8D"/>
  <w15:chartTrackingRefBased/>
  <w15:docId w15:val="{522AF1B8-6177-4A56-B645-533D5EE71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9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9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9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9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9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9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9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9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92E"/>
    <w:rPr>
      <w:rFonts w:eastAsiaTheme="majorEastAsia" w:cstheme="majorBidi"/>
      <w:color w:val="272727" w:themeColor="text1" w:themeTint="D8"/>
    </w:rPr>
  </w:style>
  <w:style w:type="paragraph" w:styleId="Title">
    <w:name w:val="Title"/>
    <w:basedOn w:val="Normal"/>
    <w:next w:val="Normal"/>
    <w:link w:val="TitleChar"/>
    <w:uiPriority w:val="10"/>
    <w:qFormat/>
    <w:rsid w:val="00FD3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92E"/>
    <w:pPr>
      <w:spacing w:before="160"/>
      <w:jc w:val="center"/>
    </w:pPr>
    <w:rPr>
      <w:i/>
      <w:iCs/>
      <w:color w:val="404040" w:themeColor="text1" w:themeTint="BF"/>
    </w:rPr>
  </w:style>
  <w:style w:type="character" w:customStyle="1" w:styleId="QuoteChar">
    <w:name w:val="Quote Char"/>
    <w:basedOn w:val="DefaultParagraphFont"/>
    <w:link w:val="Quote"/>
    <w:uiPriority w:val="29"/>
    <w:rsid w:val="00FD392E"/>
    <w:rPr>
      <w:i/>
      <w:iCs/>
      <w:color w:val="404040" w:themeColor="text1" w:themeTint="BF"/>
    </w:rPr>
  </w:style>
  <w:style w:type="paragraph" w:styleId="ListParagraph">
    <w:name w:val="List Paragraph"/>
    <w:basedOn w:val="Normal"/>
    <w:uiPriority w:val="34"/>
    <w:qFormat/>
    <w:rsid w:val="00FD392E"/>
    <w:pPr>
      <w:ind w:left="720"/>
      <w:contextualSpacing/>
    </w:pPr>
  </w:style>
  <w:style w:type="character" w:styleId="IntenseEmphasis">
    <w:name w:val="Intense Emphasis"/>
    <w:basedOn w:val="DefaultParagraphFont"/>
    <w:uiPriority w:val="21"/>
    <w:qFormat/>
    <w:rsid w:val="00FD392E"/>
    <w:rPr>
      <w:i/>
      <w:iCs/>
      <w:color w:val="0F4761" w:themeColor="accent1" w:themeShade="BF"/>
    </w:rPr>
  </w:style>
  <w:style w:type="paragraph" w:styleId="IntenseQuote">
    <w:name w:val="Intense Quote"/>
    <w:basedOn w:val="Normal"/>
    <w:next w:val="Normal"/>
    <w:link w:val="IntenseQuoteChar"/>
    <w:uiPriority w:val="30"/>
    <w:qFormat/>
    <w:rsid w:val="00FD3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92E"/>
    <w:rPr>
      <w:i/>
      <w:iCs/>
      <w:color w:val="0F4761" w:themeColor="accent1" w:themeShade="BF"/>
    </w:rPr>
  </w:style>
  <w:style w:type="character" w:styleId="IntenseReference">
    <w:name w:val="Intense Reference"/>
    <w:basedOn w:val="DefaultParagraphFont"/>
    <w:uiPriority w:val="32"/>
    <w:qFormat/>
    <w:rsid w:val="00FD39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4</Pages>
  <Words>1209</Words>
  <Characters>6896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Goodness Mbaogu</dc:creator>
  <cp:keywords/>
  <dc:description/>
  <cp:lastModifiedBy>Goodness Mbaogu</cp:lastModifiedBy>
  <cp:revision>4</cp:revision>
  <dcterms:created xsi:type="dcterms:W3CDTF">2026-04-30T04:14:00Z</dcterms:created>
  <dcterms:modified xsi:type="dcterms:W3CDTF">2026-05-01T11:19:00Z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04485821-dcde-4126-997c-9e8c45595224</vt:lpwstr>
  </property>
</Properties>
</file>