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4953F" w14:textId="77777777" w:rsidR="005D0655" w:rsidRPr="005D0655" w:rsidRDefault="005D0655" w:rsidP="005D0655">
      <w:r w:rsidRPr="005D0655">
        <w:rPr>
          <w:b/>
          <w:bCs/>
        </w:rPr>
        <w:t>TASK BRIEF — Building Coverage Ratio (BCR) Analysis (QGIS)</w:t>
      </w:r>
    </w:p>
    <w:p w14:paraId="7D5E68BA" w14:textId="7A4E4A69" w:rsidR="005D0655" w:rsidRPr="005D0655" w:rsidRDefault="005D0655" w:rsidP="005D0655">
      <w:r w:rsidRPr="005D0655">
        <w:t>A GIS Analyst is required to deliver a Building Coverage Ratio analysis that quantifies the physical development intensity of every land parcel within a defined study area. The work must use three input layers: a cadastral parcels</w:t>
      </w:r>
      <w:r>
        <w:t xml:space="preserve"> </w:t>
      </w:r>
      <w:r w:rsidRPr="005D0655">
        <w:t>layer</w:t>
      </w:r>
      <w:r>
        <w:t xml:space="preserve"> </w:t>
      </w:r>
      <w:r>
        <w:t>(</w:t>
      </w:r>
      <w:proofErr w:type="spellStart"/>
      <w:proofErr w:type="gramStart"/>
      <w:r>
        <w:t>parcels.gpkg</w:t>
      </w:r>
      <w:proofErr w:type="spellEnd"/>
      <w:proofErr w:type="gramEnd"/>
      <w:r>
        <w:t>)</w:t>
      </w:r>
      <w:r w:rsidRPr="005D0655">
        <w:t xml:space="preserve"> of approximately 1,900 polygons, an OSM building footprints layer</w:t>
      </w:r>
      <w:r>
        <w:t xml:space="preserve"> (</w:t>
      </w:r>
      <w:proofErr w:type="spellStart"/>
      <w:proofErr w:type="gramStart"/>
      <w:r>
        <w:t>building.gpkg</w:t>
      </w:r>
      <w:proofErr w:type="spellEnd"/>
      <w:proofErr w:type="gramEnd"/>
      <w:r>
        <w:t>)</w:t>
      </w:r>
      <w:r w:rsidRPr="005D0655">
        <w:t xml:space="preserve"> of approximately 1,974 polygons, and a single boundary polygon</w:t>
      </w:r>
      <w:r>
        <w:t xml:space="preserve"> </w:t>
      </w:r>
      <w:r>
        <w:t>(</w:t>
      </w:r>
      <w:proofErr w:type="spellStart"/>
      <w:proofErr w:type="gramStart"/>
      <w:r>
        <w:t>boundary.gpkg</w:t>
      </w:r>
      <w:proofErr w:type="spellEnd"/>
      <w:proofErr w:type="gramEnd"/>
      <w:r>
        <w:t>)</w:t>
      </w:r>
      <w:r>
        <w:t>,</w:t>
      </w:r>
      <w:r w:rsidRPr="005D0655">
        <w:t xml:space="preserve"> all in EPSG:2227, NAD83 / California Zone 3, US Feet. </w:t>
      </w:r>
      <w:r>
        <w:t>The</w:t>
      </w:r>
      <w:r w:rsidRPr="004961C4">
        <w:t xml:space="preserve"> full project, all derived layers, distance calculations, and area calculations must remain in this CRS.</w:t>
      </w:r>
    </w:p>
    <w:p w14:paraId="29E4956B" w14:textId="261B2879" w:rsidR="005D0655" w:rsidRPr="005D0655" w:rsidRDefault="005D0655" w:rsidP="005D0655">
      <w:r w:rsidRPr="005D0655">
        <w:t>The core of the analysis is a spatial intersection of the building footprints against the parcel layer. Because some buildings straddle multiple parcels, the intersection must split building geometries at parcel boundaries so that each resulting piece is correctly attributed to its enclosing parcel. Building area must be computed directly from the intersection piece geometries in EPSG:2227, then aggregated by parcel identifier (</w:t>
      </w:r>
      <w:proofErr w:type="spellStart"/>
      <w:r w:rsidRPr="005D0655">
        <w:t>blklot</w:t>
      </w:r>
      <w:proofErr w:type="spellEnd"/>
      <w:r w:rsidRPr="005D0655">
        <w:t xml:space="preserve">) to produce a total </w:t>
      </w:r>
      <w:proofErr w:type="spellStart"/>
      <w:r w:rsidRPr="005D0655">
        <w:t>bldg_sqft</w:t>
      </w:r>
      <w:proofErr w:type="spellEnd"/>
      <w:r w:rsidRPr="005D0655">
        <w:t xml:space="preserve"> value per parcel. Parcels with no intersecting building must receive a </w:t>
      </w:r>
      <w:proofErr w:type="spellStart"/>
      <w:r w:rsidRPr="005D0655">
        <w:t>bldg_sqft</w:t>
      </w:r>
      <w:proofErr w:type="spellEnd"/>
      <w:r w:rsidRPr="005D0655">
        <w:t xml:space="preserve"> of zero. BCR must then be calculated as </w:t>
      </w:r>
      <w:proofErr w:type="spellStart"/>
      <w:r w:rsidRPr="005D0655">
        <w:t>bldg_sqft</w:t>
      </w:r>
      <w:proofErr w:type="spellEnd"/>
      <w:r w:rsidRPr="005D0655">
        <w:t xml:space="preserve"> divided by </w:t>
      </w:r>
      <w:proofErr w:type="spellStart"/>
      <w:r w:rsidRPr="005D0655">
        <w:t>parcel_sqft</w:t>
      </w:r>
      <w:proofErr w:type="spellEnd"/>
      <w:r w:rsidRPr="005D0655">
        <w:t xml:space="preserve">, multiplied by 100, and capped at </w:t>
      </w:r>
      <w:r w:rsidR="009647A0" w:rsidRPr="005D0655">
        <w:t xml:space="preserve">100% </w:t>
      </w:r>
      <w:r w:rsidR="009647A0" w:rsidRPr="009647A0">
        <w:t>("</w:t>
      </w:r>
      <w:proofErr w:type="spellStart"/>
      <w:r w:rsidR="009647A0" w:rsidRPr="009647A0">
        <w:t>bldg_sqft</w:t>
      </w:r>
      <w:proofErr w:type="spellEnd"/>
      <w:r w:rsidR="009647A0" w:rsidRPr="009647A0">
        <w:t>" / "</w:t>
      </w:r>
      <w:proofErr w:type="spellStart"/>
      <w:r w:rsidR="009647A0" w:rsidRPr="009647A0">
        <w:t>parcel_sqft</w:t>
      </w:r>
      <w:proofErr w:type="spellEnd"/>
      <w:r w:rsidR="009647A0" w:rsidRPr="009647A0">
        <w:t>") * 100, 100)</w:t>
      </w:r>
      <w:r w:rsidR="009647A0">
        <w:t xml:space="preserve"> </w:t>
      </w:r>
      <w:r w:rsidRPr="005D0655">
        <w:t xml:space="preserve">to absorb geometric slivers. Both area values must be derived from </w:t>
      </w:r>
      <w:r>
        <w:t xml:space="preserve">the </w:t>
      </w:r>
      <w:r w:rsidRPr="005D0655">
        <w:t>EPSG:2227 geometry throughout.</w:t>
      </w:r>
    </w:p>
    <w:p w14:paraId="4144E870" w14:textId="541855B5" w:rsidR="005D0655" w:rsidRPr="005D0655" w:rsidRDefault="005D0655" w:rsidP="005D0655">
      <w:r w:rsidRPr="005D0655">
        <w:t xml:space="preserve">Parcels must be classified into five tiers based on BCR: Vacant at exactly 0%, Underdeveloped at greater than 0% up to and including 25%, Moderate above 25% up to and including 50%, Dense above 50% up to and including 75%, and Saturated above 75%. Apply a sequential green </w:t>
      </w:r>
      <w:r w:rsidR="009A641D" w:rsidRPr="005D0655">
        <w:t>color</w:t>
      </w:r>
      <w:r w:rsidRPr="005D0655">
        <w:t xml:space="preserve"> </w:t>
      </w:r>
      <w:r>
        <w:t>scheme</w:t>
      </w:r>
      <w:r w:rsidRPr="005D0655">
        <w:t xml:space="preserve"> to these tiers</w:t>
      </w:r>
      <w:r>
        <w:t>,</w:t>
      </w:r>
      <w:r w:rsidRPr="005D0655">
        <w:t xml:space="preserve"> white for Vacant, light green for Underdeveloped, medium green for Moderate, dark green for Dense, and deep green for Saturated</w:t>
      </w:r>
      <w:r>
        <w:t>,</w:t>
      </w:r>
      <w:r w:rsidRPr="005D0655">
        <w:t xml:space="preserve"> rendered as a </w:t>
      </w:r>
      <w:proofErr w:type="spellStart"/>
      <w:r w:rsidRPr="005D0655">
        <w:t>categorised</w:t>
      </w:r>
      <w:proofErr w:type="spellEnd"/>
      <w:r w:rsidRPr="005D0655">
        <w:t xml:space="preserve"> symbology on the </w:t>
      </w:r>
      <w:proofErr w:type="spellStart"/>
      <w:r w:rsidRPr="005D0655">
        <w:t>bcr_tier</w:t>
      </w:r>
      <w:proofErr w:type="spellEnd"/>
      <w:r w:rsidRPr="005D0655">
        <w:t xml:space="preserve"> field. Overlay building footprints in mid-grey and the boundary as a hollow polygon with a dark outline.</w:t>
      </w:r>
    </w:p>
    <w:p w14:paraId="0B95DDDE" w14:textId="3C5ECC12" w:rsidR="005D0655" w:rsidRPr="005D0655" w:rsidRDefault="005D0655" w:rsidP="005D0655">
      <w:r w:rsidRPr="005D0655">
        <w:t>The</w:t>
      </w:r>
      <w:r w:rsidR="009128D5">
        <w:t xml:space="preserve"> project must deliver</w:t>
      </w:r>
      <w:r w:rsidRPr="005D0655">
        <w:t xml:space="preserve"> </w:t>
      </w:r>
      <w:r w:rsidR="009128D5">
        <w:t xml:space="preserve">an </w:t>
      </w:r>
      <w:r w:rsidRPr="005D0655">
        <w:t xml:space="preserve">output layer </w:t>
      </w:r>
      <w:r w:rsidR="009128D5">
        <w:t>(</w:t>
      </w:r>
      <w:proofErr w:type="spellStart"/>
      <w:r w:rsidR="009128D5" w:rsidRPr="005D0655">
        <w:t>BCR_Analysis</w:t>
      </w:r>
      <w:r w:rsidR="009128D5">
        <w:t>.gpkg</w:t>
      </w:r>
      <w:proofErr w:type="spellEnd"/>
      <w:r w:rsidR="009128D5">
        <w:t xml:space="preserve">) </w:t>
      </w:r>
      <w:r w:rsidR="009A641D">
        <w:t xml:space="preserve">that </w:t>
      </w:r>
      <w:r w:rsidRPr="005D0655">
        <w:t xml:space="preserve">must retain the original parcel identifier, street name, </w:t>
      </w:r>
      <w:proofErr w:type="spellStart"/>
      <w:r w:rsidRPr="005D0655">
        <w:t>zoning_sim</w:t>
      </w:r>
      <w:proofErr w:type="spellEnd"/>
      <w:r w:rsidRPr="005D0655">
        <w:t xml:space="preserve">, district name, </w:t>
      </w:r>
      <w:proofErr w:type="spellStart"/>
      <w:r w:rsidRPr="005D0655">
        <w:t>parcel_sqft</w:t>
      </w:r>
      <w:proofErr w:type="spellEnd"/>
      <w:r w:rsidRPr="005D0655">
        <w:t xml:space="preserve">, </w:t>
      </w:r>
      <w:proofErr w:type="spellStart"/>
      <w:r w:rsidRPr="005D0655">
        <w:t>bldg_sqft</w:t>
      </w:r>
      <w:proofErr w:type="spellEnd"/>
      <w:r w:rsidRPr="005D0655">
        <w:t xml:space="preserve">, </w:t>
      </w:r>
      <w:proofErr w:type="spellStart"/>
      <w:r w:rsidRPr="005D0655">
        <w:t>bcr_pct</w:t>
      </w:r>
      <w:proofErr w:type="spellEnd"/>
      <w:r w:rsidRPr="005D0655">
        <w:t xml:space="preserve">, and </w:t>
      </w:r>
      <w:proofErr w:type="spellStart"/>
      <w:r w:rsidRPr="005D0655">
        <w:t>bcr_tier</w:t>
      </w:r>
      <w:proofErr w:type="spellEnd"/>
      <w:r w:rsidR="009A641D">
        <w:t xml:space="preserve">, all the mentioned input layers, and a </w:t>
      </w:r>
      <w:r w:rsidRPr="005D0655">
        <w:t xml:space="preserve">QGIS project </w:t>
      </w:r>
      <w:r w:rsidR="009A641D">
        <w:t>saved as</w:t>
      </w:r>
      <w:r w:rsidRPr="005D0655">
        <w:t xml:space="preserve"> </w:t>
      </w:r>
      <w:proofErr w:type="spellStart"/>
      <w:r w:rsidRPr="005D0655">
        <w:t>BCR_Analysis.qgz</w:t>
      </w:r>
      <w:proofErr w:type="spellEnd"/>
      <w:r w:rsidRPr="005D0655">
        <w:t xml:space="preserve"> with relative paths and </w:t>
      </w:r>
      <w:r w:rsidR="009A641D">
        <w:t xml:space="preserve">opens with </w:t>
      </w:r>
      <w:r w:rsidRPr="005D0655">
        <w:t>no broken links.</w:t>
      </w:r>
    </w:p>
    <w:p w14:paraId="6A450D11" w14:textId="77777777" w:rsidR="005D0655" w:rsidRDefault="005D0655"/>
    <w:sectPr w:rsidR="005D06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655"/>
    <w:rsid w:val="005D0655"/>
    <w:rsid w:val="00733217"/>
    <w:rsid w:val="007E1C69"/>
    <w:rsid w:val="009128D5"/>
    <w:rsid w:val="009647A0"/>
    <w:rsid w:val="009A6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84F44"/>
  <w15:chartTrackingRefBased/>
  <w15:docId w15:val="{9173C684-89A3-499B-B207-D4DEA829C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6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655"/>
    <w:rPr>
      <w:rFonts w:eastAsiaTheme="majorEastAsia" w:cstheme="majorBidi"/>
      <w:color w:val="272727" w:themeColor="text1" w:themeTint="D8"/>
    </w:rPr>
  </w:style>
  <w:style w:type="paragraph" w:styleId="Title">
    <w:name w:val="Title"/>
    <w:basedOn w:val="Normal"/>
    <w:next w:val="Normal"/>
    <w:link w:val="TitleChar"/>
    <w:uiPriority w:val="10"/>
    <w:qFormat/>
    <w:rsid w:val="005D0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655"/>
    <w:pPr>
      <w:spacing w:before="160"/>
      <w:jc w:val="center"/>
    </w:pPr>
    <w:rPr>
      <w:i/>
      <w:iCs/>
      <w:color w:val="404040" w:themeColor="text1" w:themeTint="BF"/>
    </w:rPr>
  </w:style>
  <w:style w:type="character" w:customStyle="1" w:styleId="QuoteChar">
    <w:name w:val="Quote Char"/>
    <w:basedOn w:val="DefaultParagraphFont"/>
    <w:link w:val="Quote"/>
    <w:uiPriority w:val="29"/>
    <w:rsid w:val="005D0655"/>
    <w:rPr>
      <w:i/>
      <w:iCs/>
      <w:color w:val="404040" w:themeColor="text1" w:themeTint="BF"/>
    </w:rPr>
  </w:style>
  <w:style w:type="paragraph" w:styleId="ListParagraph">
    <w:name w:val="List Paragraph"/>
    <w:basedOn w:val="Normal"/>
    <w:uiPriority w:val="34"/>
    <w:qFormat/>
    <w:rsid w:val="005D0655"/>
    <w:pPr>
      <w:ind w:left="720"/>
      <w:contextualSpacing/>
    </w:pPr>
  </w:style>
  <w:style w:type="character" w:styleId="IntenseEmphasis">
    <w:name w:val="Intense Emphasis"/>
    <w:basedOn w:val="DefaultParagraphFont"/>
    <w:uiPriority w:val="21"/>
    <w:qFormat/>
    <w:rsid w:val="005D0655"/>
    <w:rPr>
      <w:i/>
      <w:iCs/>
      <w:color w:val="0F4761" w:themeColor="accent1" w:themeShade="BF"/>
    </w:rPr>
  </w:style>
  <w:style w:type="paragraph" w:styleId="IntenseQuote">
    <w:name w:val="Intense Quote"/>
    <w:basedOn w:val="Normal"/>
    <w:next w:val="Normal"/>
    <w:link w:val="IntenseQuoteChar"/>
    <w:uiPriority w:val="30"/>
    <w:qFormat/>
    <w:rsid w:val="005D0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655"/>
    <w:rPr>
      <w:i/>
      <w:iCs/>
      <w:color w:val="0F4761" w:themeColor="accent1" w:themeShade="BF"/>
    </w:rPr>
  </w:style>
  <w:style w:type="character" w:styleId="IntenseReference">
    <w:name w:val="Intense Reference"/>
    <w:basedOn w:val="DefaultParagraphFont"/>
    <w:uiPriority w:val="32"/>
    <w:qFormat/>
    <w:rsid w:val="005D06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Goodness Mbaogu</dc:creator>
  <cp:keywords/>
  <dc:description/>
  <cp:lastModifiedBy>Goodness Mbaogu</cp:lastModifiedBy>
  <cp:revision>1</cp:revision>
  <dcterms:created xsi:type="dcterms:W3CDTF">2026-05-11T12:58:00Z</dcterms:created>
  <dcterms:modified xsi:type="dcterms:W3CDTF">2026-05-11T14:30:00Z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7dd3b358-eb94-4c3b-add9-cdc52446d598</vt:lpwstr>
  </property>
</Properties>
</file>