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E56B" w14:textId="04AF9E8A" w:rsidR="004A4579" w:rsidRPr="004A4579" w:rsidRDefault="004A4579" w:rsidP="004A4579">
      <w:r w:rsidRPr="004A4579">
        <w:rPr>
          <w:b/>
          <w:bCs/>
        </w:rPr>
        <w:t>Health facility proximity to waterways risk screen</w:t>
      </w:r>
      <w:r>
        <w:t xml:space="preserve"> - Ghana</w:t>
      </w:r>
      <w:r w:rsidR="00000000">
        <w:pict w14:anchorId="0F88482F">
          <v:rect id="_x0000_i1025" style="width:0;height:1.5pt" o:hralign="center" o:hrstd="t" o:hr="t" fillcolor="#a0a0a0" stroked="f"/>
        </w:pict>
      </w:r>
    </w:p>
    <w:p w14:paraId="227F307C" w14:textId="21467596" w:rsidR="004A4579" w:rsidRPr="004A4579" w:rsidRDefault="004A4579" w:rsidP="004A4579">
      <w:r>
        <w:t>The proximity of health facilities to waterways and river corridors is a direct indicator of flood exposure risk; yet, across Ghana,</w:t>
      </w:r>
      <w:r w:rsidRPr="004A4579">
        <w:t xml:space="preserve"> a substantial number of facilities sit within reach of active drainage networks without any formal hazard classification. You are required to screen all health facilities against the spatial extent of the national waterway and river network, flagging those that fall within a 500-metre flood corridor as at-risk assets. The output must be a decision-ready dataset that health planners, disaster risk management agencies, and infrastructure teams can use to prioritise preparedness and resilience investment where it matters most.</w:t>
      </w:r>
    </w:p>
    <w:p w14:paraId="0473CD22" w14:textId="7A0B810F" w:rsidR="004A4579" w:rsidRPr="004A4579" w:rsidRDefault="004A4579" w:rsidP="004A4579">
      <w:r w:rsidRPr="004A4579">
        <w:t xml:space="preserve">You will be working with three layers: </w:t>
      </w:r>
      <w:r w:rsidRPr="004A4579">
        <w:rPr>
          <w:b/>
          <w:bCs/>
        </w:rPr>
        <w:t>health_facilities.gpkg</w:t>
      </w:r>
      <w:r w:rsidRPr="004A4579">
        <w:t xml:space="preserve"> (point layer of all health facilities), </w:t>
      </w:r>
      <w:r w:rsidRPr="004A4579">
        <w:rPr>
          <w:b/>
          <w:bCs/>
        </w:rPr>
        <w:t>waterways.gpkg</w:t>
      </w:r>
      <w:r w:rsidRPr="004A4579">
        <w:t xml:space="preserve"> (line layer of the mapped waterway network), and </w:t>
      </w:r>
      <w:r w:rsidRPr="004A4579">
        <w:rPr>
          <w:b/>
          <w:bCs/>
        </w:rPr>
        <w:t>rivers.gpkg</w:t>
      </w:r>
      <w:r w:rsidRPr="004A4579">
        <w:t xml:space="preserve"> (line layer of river features). All three layers must be in </w:t>
      </w:r>
      <w:r w:rsidRPr="004A4579">
        <w:rPr>
          <w:b/>
          <w:bCs/>
        </w:rPr>
        <w:t>EPSG:25000 - Leigon / Ghana Metre</w:t>
      </w:r>
      <w:r w:rsidRPr="004A4579">
        <w:t xml:space="preserve"> </w:t>
      </w:r>
      <w:r w:rsidRPr="004A4579">
        <w:rPr>
          <w:b/>
          <w:bCs/>
        </w:rPr>
        <w:t>Grid</w:t>
      </w:r>
      <w:r>
        <w:rPr>
          <w:b/>
          <w:bCs/>
        </w:rPr>
        <w:t>,</w:t>
      </w:r>
      <w:r w:rsidRPr="004A4579">
        <w:t xml:space="preserve"> before any processing begins, as all distance thresholds in this task are defined in metric units and depend on that CRS being active.</w:t>
      </w:r>
    </w:p>
    <w:p w14:paraId="69913AC9" w14:textId="173FDD86" w:rsidR="004A4579" w:rsidRPr="004A4579" w:rsidRDefault="004A4579" w:rsidP="004A4579">
      <w:r w:rsidRPr="004A4579">
        <w:t xml:space="preserve">The flood corridor is constructed by first merging </w:t>
      </w:r>
      <w:r w:rsidRPr="004A4579">
        <w:rPr>
          <w:b/>
          <w:bCs/>
        </w:rPr>
        <w:t>waterways.gpkg</w:t>
      </w:r>
      <w:r w:rsidRPr="004A4579">
        <w:t xml:space="preserve"> and </w:t>
      </w:r>
      <w:r w:rsidRPr="004A4579">
        <w:rPr>
          <w:b/>
          <w:bCs/>
        </w:rPr>
        <w:t>rivers.gpkg</w:t>
      </w:r>
      <w:r w:rsidRPr="004A4579">
        <w:t xml:space="preserve"> into a single unified line layer named </w:t>
      </w:r>
      <w:r w:rsidRPr="004A4579">
        <w:rPr>
          <w:b/>
          <w:bCs/>
        </w:rPr>
        <w:t>waterways_rivers_merged.gpkg</w:t>
      </w:r>
      <w:r w:rsidRPr="004A4579">
        <w:t xml:space="preserve">. This combined layer forms the complete hydrological reference for the analysis. From it, produce </w:t>
      </w:r>
      <w:r w:rsidRPr="004A4579">
        <w:rPr>
          <w:b/>
          <w:bCs/>
        </w:rPr>
        <w:t>flood_corridor_500m.gpkg</w:t>
      </w:r>
      <w:r w:rsidRPr="004A4579">
        <w:t>: a single dissolved polygon representing the 500-metre proximity zone around the entire merged network. The dissolve is mandatory</w:t>
      </w:r>
      <w:r>
        <w:t>;</w:t>
      </w:r>
      <w:r w:rsidRPr="004A4579">
        <w:t xml:space="preserve"> the corridor must be a single unified geometry with no internal boundaries between features. The 500-metre threshold is fixed and must not be adjusted.</w:t>
      </w:r>
    </w:p>
    <w:p w14:paraId="03891C05" w14:textId="2DAD9604" w:rsidR="004A4579" w:rsidRPr="004A4579" w:rsidRDefault="004A4579" w:rsidP="004A4579">
      <w:r w:rsidRPr="004A4579">
        <w:rPr>
          <w:b/>
          <w:bCs/>
        </w:rPr>
        <w:t>Using flood_corridor_500m.gpkg</w:t>
      </w:r>
      <w:r w:rsidRPr="004A4579">
        <w:t xml:space="preserve"> as the spatial reference, every health facility must be evaluated for whether it falls within or outside the flood corridor. The result is </w:t>
      </w:r>
      <w:r w:rsidRPr="004A4579">
        <w:rPr>
          <w:b/>
          <w:bCs/>
        </w:rPr>
        <w:t>health_facilities_risk_tagged.gpkg</w:t>
      </w:r>
      <w:r w:rsidRPr="004A4579">
        <w:t xml:space="preserve">: a point layer that retains every feature from the original </w:t>
      </w:r>
      <w:r w:rsidRPr="004A4579">
        <w:rPr>
          <w:b/>
          <w:bCs/>
        </w:rPr>
        <w:t>health_facilities.gpkg</w:t>
      </w:r>
      <w:r>
        <w:t>;</w:t>
      </w:r>
      <w:r w:rsidRPr="004A4579">
        <w:t xml:space="preserve"> total feature count must remain 1905</w:t>
      </w:r>
      <w:r>
        <w:t xml:space="preserve"> and</w:t>
      </w:r>
      <w:r w:rsidRPr="004A4579">
        <w:t xml:space="preserve"> carries a new text field named flood_risk populated with At Risk for facilities within the 500-metre corridor and Safe for those outside it. This tagged layer is the primary deliverable. From it, produce </w:t>
      </w:r>
      <w:r w:rsidRPr="004A4579">
        <w:rPr>
          <w:b/>
          <w:bCs/>
        </w:rPr>
        <w:t>health_facilities_at_risk.gpkg</w:t>
      </w:r>
      <w:r w:rsidRPr="004A4579">
        <w:t xml:space="preserve"> as an attribute-filtered subset containing only features where flood_risk = 'At Risk'.</w:t>
      </w:r>
    </w:p>
    <w:p w14:paraId="3E04ADFB" w14:textId="77777777" w:rsidR="004A4579" w:rsidRPr="004A4579" w:rsidRDefault="004A4579" w:rsidP="004A4579">
      <w:r w:rsidRPr="004A4579">
        <w:t xml:space="preserve">In the QGIS project, </w:t>
      </w:r>
      <w:r w:rsidRPr="004A4579">
        <w:rPr>
          <w:b/>
          <w:bCs/>
        </w:rPr>
        <w:t>health_facilities_risk_tagged.gpkg</w:t>
      </w:r>
      <w:r w:rsidRPr="004A4579">
        <w:t xml:space="preserve"> must be symbolised using flood_risk as the classification field: red circles for At Risk facilities and green circles for Safe facilities. The flood corridor polygon must be rendered as a semi-transparent blue fill to show spatial coverage without obscuring the facility points beneath it.</w:t>
      </w:r>
    </w:p>
    <w:p w14:paraId="54933892" w14:textId="33FDA936" w:rsidR="004A4579" w:rsidRPr="004A4579" w:rsidRDefault="004A4579" w:rsidP="004A4579">
      <w:r w:rsidRPr="004A4579">
        <w:lastRenderedPageBreak/>
        <w:t>Deliver a project folder named Health facility proximity to waterways risk screen containing the input line layers, the derived outputs (</w:t>
      </w:r>
      <w:r w:rsidRPr="004A4579">
        <w:rPr>
          <w:b/>
          <w:bCs/>
        </w:rPr>
        <w:t>waterways_rivers_merged.gpkg, flood_corridor_500m.gpkg, health_facilities_risk_tagged.gpkg,</w:t>
      </w:r>
      <w:r w:rsidRPr="004A4579">
        <w:t xml:space="preserve"> </w:t>
      </w:r>
      <w:r w:rsidRPr="004A4579">
        <w:rPr>
          <w:b/>
          <w:bCs/>
        </w:rPr>
        <w:t>health_facilities_at_risk.gpkg</w:t>
      </w:r>
      <w:r w:rsidRPr="004A4579">
        <w:t xml:space="preserve">), and the project file </w:t>
      </w:r>
      <w:r w:rsidRPr="004A4579">
        <w:rPr>
          <w:b/>
          <w:bCs/>
        </w:rPr>
        <w:t>Health-Facility-Waterway-Risk.qgz</w:t>
      </w:r>
      <w:r w:rsidRPr="004A4579">
        <w:t xml:space="preserve"> saved with relative paths. The project must reopen without broken layer links, CRS mismatches, or missing files.</w:t>
      </w:r>
    </w:p>
    <w:p w14:paraId="24F51E7F" w14:textId="77777777" w:rsidR="004A4579" w:rsidRDefault="004A4579"/>
    <w:sectPr w:rsidR="004A45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79"/>
    <w:rsid w:val="00021519"/>
    <w:rsid w:val="004A4579"/>
    <w:rsid w:val="007A7420"/>
    <w:rsid w:val="00B22B61"/>
    <w:rsid w:val="00CD4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915E"/>
  <w15:chartTrackingRefBased/>
  <w15:docId w15:val="{14D28B7B-FC5B-4C18-B9ED-10DE9490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579"/>
    <w:rPr>
      <w:rFonts w:eastAsiaTheme="majorEastAsia" w:cstheme="majorBidi"/>
      <w:color w:val="272727" w:themeColor="text1" w:themeTint="D8"/>
    </w:rPr>
  </w:style>
  <w:style w:type="paragraph" w:styleId="Title">
    <w:name w:val="Title"/>
    <w:basedOn w:val="Normal"/>
    <w:next w:val="Normal"/>
    <w:link w:val="TitleChar"/>
    <w:uiPriority w:val="10"/>
    <w:qFormat/>
    <w:rsid w:val="004A4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579"/>
    <w:pPr>
      <w:spacing w:before="160"/>
      <w:jc w:val="center"/>
    </w:pPr>
    <w:rPr>
      <w:i/>
      <w:iCs/>
      <w:color w:val="404040" w:themeColor="text1" w:themeTint="BF"/>
    </w:rPr>
  </w:style>
  <w:style w:type="character" w:customStyle="1" w:styleId="QuoteChar">
    <w:name w:val="Quote Char"/>
    <w:basedOn w:val="DefaultParagraphFont"/>
    <w:link w:val="Quote"/>
    <w:uiPriority w:val="29"/>
    <w:rsid w:val="004A4579"/>
    <w:rPr>
      <w:i/>
      <w:iCs/>
      <w:color w:val="404040" w:themeColor="text1" w:themeTint="BF"/>
    </w:rPr>
  </w:style>
  <w:style w:type="paragraph" w:styleId="ListParagraph">
    <w:name w:val="List Paragraph"/>
    <w:basedOn w:val="Normal"/>
    <w:uiPriority w:val="34"/>
    <w:qFormat/>
    <w:rsid w:val="004A4579"/>
    <w:pPr>
      <w:ind w:left="720"/>
      <w:contextualSpacing/>
    </w:pPr>
  </w:style>
  <w:style w:type="character" w:styleId="IntenseEmphasis">
    <w:name w:val="Intense Emphasis"/>
    <w:basedOn w:val="DefaultParagraphFont"/>
    <w:uiPriority w:val="21"/>
    <w:qFormat/>
    <w:rsid w:val="004A4579"/>
    <w:rPr>
      <w:i/>
      <w:iCs/>
      <w:color w:val="0F4761" w:themeColor="accent1" w:themeShade="BF"/>
    </w:rPr>
  </w:style>
  <w:style w:type="paragraph" w:styleId="IntenseQuote">
    <w:name w:val="Intense Quote"/>
    <w:basedOn w:val="Normal"/>
    <w:next w:val="Normal"/>
    <w:link w:val="IntenseQuoteChar"/>
    <w:uiPriority w:val="30"/>
    <w:qFormat/>
    <w:rsid w:val="004A4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579"/>
    <w:rPr>
      <w:i/>
      <w:iCs/>
      <w:color w:val="0F4761" w:themeColor="accent1" w:themeShade="BF"/>
    </w:rPr>
  </w:style>
  <w:style w:type="character" w:styleId="IntenseReference">
    <w:name w:val="Intense Reference"/>
    <w:basedOn w:val="DefaultParagraphFont"/>
    <w:uiPriority w:val="32"/>
    <w:qFormat/>
    <w:rsid w:val="004A4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1</cp:revision>
  <dcterms:created xsi:type="dcterms:W3CDTF">2026-05-23T04:25:00Z</dcterms:created>
  <dcterms:modified xsi:type="dcterms:W3CDTF">2026-05-25T11:32:00Z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722f3a5a-1eb4-494d-b6c9-8491911d84b0</vt:lpwstr>
  </property>
</Properties>
</file>