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Slovenská technická univerzita v Bratislave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Fakulta informatiky a informa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čných technológií</w:t>
      </w:r>
    </w:p>
    <w:p>
      <w:pPr>
        <w:spacing w:before="0" w:after="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Ilkovi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čova 2, 842 16 Bratislava 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3D Tlač - PSI projekt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  <w:t xml:space="preserve">Mária Paulí</w:t>
      </w:r>
      <w:r>
        <w:rPr>
          <w:rFonts w:ascii="Arial" w:hAnsi="Arial" w:cs="Arial" w:eastAsia="Arial"/>
          <w:color w:val="000000"/>
          <w:spacing w:val="0"/>
          <w:position w:val="0"/>
          <w:sz w:val="48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Študijný program: Informatika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čník: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Krúžok: Pon 16:00 PU1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Predmet: Princípy softvérového inžinierstva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Vedúci projektu: I.Kapustík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Ak. rok: 2015/16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Obsah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31" w:leader="none"/>
          <w:tab w:val="right" w:pos="9732" w:leader="dot"/>
        </w:tabs>
        <w:spacing w:before="120" w:after="4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Úvod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Ú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čel a rozsah dokumentu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Preh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ľad dokumentu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Odkazy a zdroje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Použitá notácia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331" w:leader="none"/>
          <w:tab w:val="right" w:pos="9732" w:leader="dot"/>
        </w:tabs>
        <w:spacing w:before="120" w:after="4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Biznis procesný model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Goals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12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13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Aktéri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Zdroje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14</w:t>
      </w:r>
    </w:p>
    <w:p>
      <w:pPr>
        <w:tabs>
          <w:tab w:val="left" w:pos="498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Procesy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17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Finan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čna transakcia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17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Odovzdanie výrobkov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19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Oprava pokazenej tla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čiarne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20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Prevzatie materiálu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21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Spracovanie objednávky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22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Sprevádzkovanie tla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čiarne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23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Uskladnenie materiálu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24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Vytvorenie návrhu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25</w:t>
      </w:r>
    </w:p>
    <w:p>
      <w:pPr>
        <w:tabs>
          <w:tab w:val="left" w:pos="665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Vytvorenie objednávky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26</w:t>
      </w:r>
    </w:p>
    <w:p>
      <w:pPr>
        <w:tabs>
          <w:tab w:val="left" w:pos="776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VÝROBA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27</w:t>
      </w:r>
    </w:p>
    <w:p>
      <w:pPr>
        <w:tabs>
          <w:tab w:val="left" w:pos="776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Zrealizovanie reklamy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28</w:t>
      </w:r>
    </w:p>
    <w:p>
      <w:pPr>
        <w:tabs>
          <w:tab w:val="left" w:pos="776" w:leader="none"/>
          <w:tab w:val="right" w:pos="9732" w:leader="dot"/>
        </w:tabs>
        <w:spacing w:before="40" w:after="20" w:line="240"/>
        <w:ind w:right="7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2.5.12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priprava vyrobkov na odovzdanie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29</w:t>
      </w:r>
    </w:p>
    <w:p>
      <w:pPr>
        <w:tabs>
          <w:tab w:val="right" w:pos="9645" w:leader="dot"/>
        </w:tabs>
        <w:spacing w:before="120" w:after="40" w:line="240"/>
        <w:ind w:right="7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Zadanie</w:t>
      </w:r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3D tla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čiareň </w:t>
      </w:r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Inovatívne technológie ako napríklad 3D tla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č sú dnes v kurze. Mať možnosť vyrobiť si vlastnú bustu, model špeciálnej zbrane alebo zmenšeninu trenčianskeho hradu je lákavé. Hardvérové zdroje sú však obmedzené a preto je vhodné využívať ich efektívne. Produkčné centrá typicky vlastnia niekoľko zariadení na 3D tlač, laserové rezanie a podobne. Každé z nich môže vyžadovať vlastné materiály, ktoré dokáže spracovávať. Zákazníci niekedy potrebujú využiť len jeden typ zariadení, inokedy sériovo viaceré z nich. Prioritní zákazníci s veľkými objednávkami často vyžadujú paralelnú tlač na všetkých dostupných zariadeniach. Cieľom projektu je návrh informačného systému pre správu tlačiarní, plánovanie vyťaženia zariadení, či sledovanie stavu dostupného materiálu.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pageBreakBefore w:val="true"/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Slovník pojmov a skratiek</w:t>
      </w:r>
    </w:p>
    <w:tbl>
      <w:tblPr>
        <w:tblInd w:w="60" w:type="dxa"/>
      </w:tblPr>
      <w:tblGrid>
        <w:gridCol w:w="2250"/>
        <w:gridCol w:w="6764"/>
      </w:tblGrid>
      <w:tr>
        <w:trPr>
          <w:trHeight w:val="1" w:hRule="atLeast"/>
          <w:jc w:val="left"/>
          <w:cantSplit w:val="1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80" w:after="40" w:line="240"/>
              <w:ind w:right="9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Pojem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80" w:after="40" w:line="240"/>
              <w:ind w:right="90" w:left="9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Význam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3D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Trojrozmerný, trojdimenzionálny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3D model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je produkt vyprodukovaný 3D tla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čiarňou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evidencia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uchovanie informácii vo fyzikálnej forme (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čitatelnej podobe)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proces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postupnos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ť inštrukcii ktoré splňia požadovaný účel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profit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zisk , naklady - prijmi = zisk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servis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obsluha zákazníkov pracovníkmi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transakcia</w:t>
            </w:r>
          </w:p>
        </w:tc>
        <w:tc>
          <w:tcPr>
            <w:tcW w:w="6764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prevod pe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ňazí z jedného bankového účtu na druhý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pageBreakBefore w:val="true"/>
        <w:numPr>
          <w:ilvl w:val="0"/>
          <w:numId w:val="42"/>
        </w:num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Úvod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Lines w:val="true"/>
        <w:numPr>
          <w:ilvl w:val="0"/>
          <w:numId w:val="45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Ú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čel a rozsah dokumentu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čel dokumentu je špecifikácia business procesu pri výrobe a spracovaní výrobkov 3D tlačiarňami. Dokument má objasniť ako sa majiteľ,spravovateľ alebo zamestnanci majú správať v daných situáciach podniku.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Lines w:val="true"/>
        <w:numPr>
          <w:ilvl w:val="0"/>
          <w:numId w:val="48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Preh</w:t>
      </w: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ľad dokumentu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Lines w:val="true"/>
        <w:numPr>
          <w:ilvl w:val="0"/>
          <w:numId w:val="51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Odkazy a zdroje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 Schnurer</w:t>
      </w:r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https://sk.wikipedia.org/wiki/Trojrozmern%C3%A1_tla%C4%8Diare%C5%88</w:t>
        </w:r>
      </w:hyperlink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http://www.svet3d.com</w:t>
        </w:r>
      </w:hyperlink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http://www.gemma.sk/produkty/tlaciarne/3d-tlaciarne</w:t>
        </w:r>
      </w:hyperlink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https://sk.wikipedia.org/wiki/Trojrozmern%C3%A1_tla%C4%8Diare%C5%88</w:t>
        </w:r>
      </w:hyperlink>
    </w:p>
    <w:p>
      <w:pPr>
        <w:spacing w:before="60" w:after="12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http://www.gemma.sk/produkty/tlaciarne/3d-tlaciarne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Lines w:val="true"/>
        <w:numPr>
          <w:ilvl w:val="0"/>
          <w:numId w:val="55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Použitá notácia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pageBreakBefore w:val="true"/>
        <w:numPr>
          <w:ilvl w:val="0"/>
          <w:numId w:val="58"/>
        </w:numPr>
        <w:spacing w:before="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4"/>
          <w:shd w:fill="auto" w:val="clear"/>
        </w:rPr>
        <w:t xml:space="preserve">Biznis procesný model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553" w:dyaOrig="5803">
          <v:rect xmlns:o="urn:schemas-microsoft-com:office:office" xmlns:v="urn:schemas-microsoft-com:vml" id="rectole0000000000" style="width:427.650000pt;height:290.1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numPr>
          <w:ilvl w:val="0"/>
          <w:numId w:val="63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Oprava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čiarne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Diagram zobrazuje procesy, ktoré sa vykonajú, ak dôjde ku chybe pri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či.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Spúš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ťačom je samotná tlačiareň s poruchou a očakávaným výstupom je opätovné zavedenie tlačiarne do prevádzky.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Spôsob opráv sa odvíja od rozsahu a typu poruchy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čo je vyobrazené na aktivity diagrame pre opravu a sprevádzkovanie tlačiarne.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Správne rozhodovanie v situácii ke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ď nastane porucha môže viesť k rýchlejšiemu návratu tlačiarne do prevádzky a následne ku skráteniu doby kedy je prevádzka touto poruchou v určitom smere obmedzená.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438" w:dyaOrig="5860">
          <v:rect xmlns:o="urn:schemas-microsoft-com:office:office" xmlns:v="urn:schemas-microsoft-com:vml" id="rectole0000000001" style="width:421.900000pt;height:293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</w:p>
    <w:p>
      <w:pPr>
        <w:numPr>
          <w:ilvl w:val="0"/>
          <w:numId w:val="67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Prevzatie materiálu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Diagram znázor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ňuje proces prijatia dodávky materiálu a spôsob jej prevzatia.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Správne prevzatie, úschova a organizácia materiálu dáva preh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ľad o aktuálnom stave skladu a zabezpečuje tak čo najlepšie využitie všetkých materiálnych prostriedkov.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76" w:dyaOrig="7417">
          <v:rect xmlns:o="urn:schemas-microsoft-com:office:office" xmlns:v="urn:schemas-microsoft-com:vml" id="rectole0000000002" style="width:433.800000pt;height:370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numPr>
          <w:ilvl w:val="0"/>
          <w:numId w:val="71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Proces zavedenia reklamy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Produktom tohto procesu sú reklamy, alebo reklamné produkty vytvorené za pomoci reklamného agenta.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Najprv náš pracovník vypracuje návrh. O akú reklamu sa má jedna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ť, za akým účelom. Akú vrstvu obyvateľstva má zaujať, ktorými produktmi.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Následne návrh zhodnotí Reklamný agent ktorý môže poradi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 zmenu dizajnu alebo ostatné detaily ako výber produktu na reklame alebo akú vrstvu obyvatelstva má reklama zasahovať. Ak nevieme kam umiestnime reklamu, môźeme túto prácu prenechať aj priamo reklamnému agentovi.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714" w:dyaOrig="5170">
          <v:rect xmlns:o="urn:schemas-microsoft-com:office:office" xmlns:v="urn:schemas-microsoft-com:vml" id="rectole0000000003" style="width:435.700000pt;height:258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numPr>
          <w:ilvl w:val="0"/>
          <w:numId w:val="75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Spustenie vyroby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Po objednavke je potrebne zpravidla produkt pre nasho zakaznika vyrobit.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Náš pracovník príde s konkrétnou objednávkou za obsuhou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čiarne. Obsluha tlačiarne vyberie voľnú tlačiareň, nastaví typ materiálu ktorým sa má výrobok vyrobiť a počet týchto výrobkov. Popritom ako sa výrobok bude tlačiť, bude obsluha frekventovane kontrolovať tlačiareň, či nenastali komplikácie alebo či už produkt nahodou nie je vytlačený.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553" w:dyaOrig="6393">
          <v:rect xmlns:o="urn:schemas-microsoft-com:office:office" xmlns:v="urn:schemas-microsoft-com:vml" id="rectole0000000004" style="width:427.650000pt;height:319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numPr>
          <w:ilvl w:val="0"/>
          <w:numId w:val="79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Vytvorenie objednávky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Diagram znázor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ňuje proces tvorby objednávky od zákazníka smerom k predajcovi a záhŕňa tiež stanovenie konkrétnych požiadaviek na výrobky čo je znázornené v aktivity diagrame pre vytvorenie objednávky.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čakávaným výstupom po spracovaní je úspešne zaevidovaná objednávka v systéme a tým zabezpečené korektné vybavenie objednávky v dohodnutom čase.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62" w:dyaOrig="7456">
          <v:rect xmlns:o="urn:schemas-microsoft-com:office:office" xmlns:v="urn:schemas-microsoft-com:vml" id="rectole0000000005" style="width:433.100000pt;height:372.8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numPr>
          <w:ilvl w:val="0"/>
          <w:numId w:val="83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odovzdanie produktu zakazníkovi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Cie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ľom tohto biznis modelu je uskutočnenie úspešného predaja za účelom zisku financii. Najprv prebehne zaplatenie za tlač, neskôr sa vytlačí faktúra pre zákazníka.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Nasleduje kone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čné odovzdanie výrobkov zákazníkovy, a to rôznym spôsobom, podľa toho, či si objednal veľa produktov alebo len menej, ći si zvolil nejaký typ logistiky, našej alebo inej. Po prevzatí výrobkov je predaj ukončený.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85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Goals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Bezpe</w:t>
      </w: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čné uskladnenie materiálu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«goal»</w:t>
            </w: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Bezpe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čné a organizované uskladnenie materiálu poskytuje prehľad o dostupnom materiále a zabezpečuje vyvarovanie sa možným stratám.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Spokojnos</w:t>
      </w: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ť zákazníka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«goal»</w:t>
            </w: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Spokojnos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 zákazníka patrí medzi primárne ciele celého biznisu, keďže úzko súvisí so ziskom, ktorý z celého výrobného procesu očakávame</w:t>
      </w: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Úspešná výroba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«goal»</w:t>
            </w: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Úspešná výroba zaru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čuje kvalitné výrobky a služby a následne vedie k spokojnosti zákazníka. </w:t>
      </w:r>
    </w:p>
    <w:p>
      <w:pPr>
        <w:keepLines w:val="true"/>
        <w:numPr>
          <w:ilvl w:val="0"/>
          <w:numId w:val="107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Information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Požiadavky zákazníka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8"/>
                <w:shd w:fill="auto" w:val="clear"/>
              </w:rPr>
              <w:t xml:space="preserve">«information»</w:t>
            </w: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Pod požiadavky zákazníka spadajú všetky kritéria a vlastnosti, ktoré by mal vyrobený produkt sp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ĺňať. Taktiež môžu obsahovať dohodu o dĺžke trvania výroby, cene apod.</w:t>
      </w:r>
    </w:p>
    <w:p>
      <w:pPr>
        <w:keepLines w:val="true"/>
        <w:numPr>
          <w:ilvl w:val="0"/>
          <w:numId w:val="116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Aktéri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Dodávate</w:t>
      </w: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ľ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Jednotlivec alebo firma, ktorá dodáva materiál, prípadne zariadenia do našej prevádzky.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Náš pracovník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Náš pracovník je osoba, ktorá udržuje chod prevádzky, vybavuje dodávky materiálu, riadi výrobu a vykonáva všetky aktivity spojené so správnym chodom prevádzky a tým zabezpe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čuje kvalitné služby </w:t>
      </w:r>
    </w:p>
    <w:p>
      <w:pPr>
        <w:spacing w:before="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Opravár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Osoba s dostato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čnými znalosťami v oblasti techniky, schopná vyhľadať a opraviť poruchy na ziariadeniach ( 3D tlačiarňach) v prevádzke.</w:t>
      </w:r>
    </w:p>
    <w:p>
      <w:pPr>
        <w:spacing w:before="6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  <w:t xml:space="preserve">Zákazník</w:t>
      </w:r>
    </w:p>
    <w:tbl>
      <w:tblPr>
        <w:tblInd w:w="60" w:type="dxa"/>
      </w:tblPr>
      <w:tblGrid>
        <w:gridCol w:w="4860"/>
        <w:gridCol w:w="4154"/>
      </w:tblGrid>
      <w:tr>
        <w:trPr>
          <w:trHeight w:val="1" w:hRule="atLeast"/>
          <w:jc w:val="left"/>
        </w:trPr>
        <w:tc>
          <w:tcPr>
            <w:tcW w:w="48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spacing w:before="0" w:after="0" w:line="240"/>
              <w:ind w:right="270" w:left="2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1" w:type="dxa"/>
              <w:right w:w="31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Mária</w:t>
            </w:r>
          </w:p>
        </w:tc>
      </w:tr>
    </w:tbl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Osoba alebo firma, ktorá prejaví záujem o výrobky, svojimi požiadavkami ich špecifikuje a následne ich pre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ňu prevádzka vyrobí.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Lines w:val="true"/>
        <w:numPr>
          <w:ilvl w:val="0"/>
          <w:numId w:val="145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Zdroje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Arial" w:hAnsi="Arial" w:cs="Arial" w:eastAsia="Arial"/>
          <w:b/>
          <w:i/>
          <w:color w:val="3F3F3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48"/>
        </w:numPr>
        <w:spacing w:before="1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Procesy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 Paulí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čková, Martin Schnurer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51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Finan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čna transakcia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Tento proces má na starosti úspešne vyplatenie objednávky. 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7688" w:dyaOrig="12650">
          <v:rect xmlns:o="urn:schemas-microsoft-com:office:office" xmlns:v="urn:schemas-microsoft-com:vml" id="rectole0000000006" style="width:384.400000pt;height:632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</w:object>
      </w:r>
    </w:p>
    <w:p>
      <w:pPr>
        <w:numPr>
          <w:ilvl w:val="0"/>
          <w:numId w:val="156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transakcia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58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Odovzdanie výrobkov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45" w:dyaOrig="11042">
          <v:rect xmlns:o="urn:schemas-microsoft-com:office:office" xmlns:v="urn:schemas-microsoft-com:vml" id="rectole0000000007" style="width:432.250000pt;height:552.1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numPr>
          <w:ilvl w:val="0"/>
          <w:numId w:val="162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odovzdanie produktu - aktivity    </w:t>
      </w:r>
    </w:p>
    <w:p>
      <w:pPr>
        <w:numPr>
          <w:ilvl w:val="0"/>
          <w:numId w:val="162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p>
      <w:pPr>
        <w:keepLines w:val="true"/>
        <w:numPr>
          <w:ilvl w:val="0"/>
          <w:numId w:val="162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Oprava pokazenej tla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čiarne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Diagram znázor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ňuje postupnosť krokov, ktoré vedú k odstráneniu poruchy na zariadeniach vo výrobe.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66" w:dyaOrig="7414">
          <v:rect xmlns:o="urn:schemas-microsoft-com:office:office" xmlns:v="urn:schemas-microsoft-com:vml" id="rectole0000000008" style="width:433.300000pt;height:370.7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1"/>
        </w:object>
      </w:r>
    </w:p>
    <w:p>
      <w:pPr>
        <w:numPr>
          <w:ilvl w:val="0"/>
          <w:numId w:val="168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Oprava pokazenej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čiarne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71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Prevzatie materiálu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Na diagrame je vyobrazený postup preberania dodávok materiálu tak aby sa predišlo hroziacim stratám.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702" w:dyaOrig="9612">
          <v:rect xmlns:o="urn:schemas-microsoft-com:office:office" xmlns:v="urn:schemas-microsoft-com:vml" id="rectole0000000009" style="width:435.100000pt;height:480.6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</w:p>
    <w:p>
      <w:pPr>
        <w:numPr>
          <w:ilvl w:val="0"/>
          <w:numId w:val="176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Prevzatie materiálu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79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Spracovanie objednávky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Dodržanie postupnosti krokov pri spracovaní objednávky, ktorá je zobrazená diagramom, je dôležitá pre korektnú evidenciu a správne 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časovanie výroby.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29" w:dyaOrig="9896">
          <v:rect xmlns:o="urn:schemas-microsoft-com:office:office" xmlns:v="urn:schemas-microsoft-com:vml" id="rectole0000000010" style="width:431.450000pt;height:494.8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5"/>
        </w:object>
      </w:r>
    </w:p>
    <w:p>
      <w:pPr>
        <w:numPr>
          <w:ilvl w:val="0"/>
          <w:numId w:val="184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Spracovanie objednávky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87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Sprevádzkovanie tla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čiarne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Proces zobrazuje postupnos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 krokov, ktorá vedie k správnej inštalácii a navrátenia zariadenia späť do prevádzky.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63" w:dyaOrig="9650">
          <v:rect xmlns:o="urn:schemas-microsoft-com:office:office" xmlns:v="urn:schemas-microsoft-com:vml" id="rectole0000000011" style="width:433.150000pt;height:482.5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7"/>
        </w:object>
      </w:r>
    </w:p>
    <w:p>
      <w:pPr>
        <w:numPr>
          <w:ilvl w:val="0"/>
          <w:numId w:val="192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Sprevádzkovanie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čiarne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195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Uskladnenie materiálu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Správna organizácia materiálnych zásob v sklade zabezpe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čuje prehľad a vedie k ich systematickejšiemu využívaniu.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88" w:dyaOrig="8841">
          <v:rect xmlns:o="urn:schemas-microsoft-com:office:office" xmlns:v="urn:schemas-microsoft-com:vml" id="rectole0000000012" style="width:434.400000pt;height:442.0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9"/>
        </w:object>
      </w:r>
    </w:p>
    <w:p>
      <w:pPr>
        <w:numPr>
          <w:ilvl w:val="0"/>
          <w:numId w:val="200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Uskladnenie materiálu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203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Vytvorenie návrhu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Tento proces má za úlohu vytvori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 NÁVRH reklamy, aký druh reklamy má byť použitý a za akým účelom. Ďalej sa rozhoduje, za akým účelom je reklama vytvorená.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714" w:dyaOrig="9527">
          <v:rect xmlns:o="urn:schemas-microsoft-com:office:office" xmlns:v="urn:schemas-microsoft-com:vml" id="rectole0000000013" style="width:435.700000pt;height:476.3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1"/>
        </w:object>
      </w:r>
    </w:p>
    <w:p>
      <w:pPr>
        <w:numPr>
          <w:ilvl w:val="0"/>
          <w:numId w:val="208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vytvorenie návrhu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V prvom rade sa jedná o prilákanie zákazníkov za 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čelom privyrobenia peňazí, ak je na tom firma dobre a chceme prosperovať ešte viac, zvolime si možnosť hlavný účel vytvorenia reklamy "dostať sa do povedomia ľudí" . Ak je naša finančná situácia vážna, zvolíme možnosť hlavný účel: "zlepšiť finančný stav".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Ak chceme zlepši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ť finančný stav, naša priorita je internet, pretože je moderný. Ak nenajdeme nič, skusime vyhľadať letakovu formu.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211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Vytvorenie objednávky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Mária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Dodržanie postupu znázorneného na diagrame vedie k lepšiemu zachyteniu všetkých požiadaviek zákazníka. Pokrytie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čo najväčšieho rozsahu požiadaviek a zabezpečenie vysokej kvality služieb je účinný spôsob udržania si jeho priazne a zaistenia si tak pravidelného zisku.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object w:dxaOrig="6494" w:dyaOrig="9890">
          <v:rect xmlns:o="urn:schemas-microsoft-com:office:office" xmlns:v="urn:schemas-microsoft-com:vml" id="rectole0000000014" style="width:324.700000pt;height:494.5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3"/>
        </w:objec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5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Vytvorenie objednávky   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218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VÝROBA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Tento proces vysvet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ľuje samotnú výrobu produktov pri tlačiarňach.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Procedúra nastavenia tla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čiarne, kontrola bezproblémovej tlače a podobne. Tento proces sa zatiaľ nevysporiada s problémom, ktorý môže pri tlači nastať. A to napríklad že tlačiareň prestane pracovať, alebo že po doplnení materiálu na tlač tlačiáreň nepokračuje v tlači a podobne. 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8630" w:dyaOrig="9612">
          <v:rect xmlns:o="urn:schemas-microsoft-com:office:office" xmlns:v="urn:schemas-microsoft-com:vml" id="rectole0000000015" style="width:431.500000pt;height:480.6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5"/>
        </w:object>
      </w:r>
    </w:p>
    <w:p>
      <w:pPr>
        <w:numPr>
          <w:ilvl w:val="0"/>
          <w:numId w:val="223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Activity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225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Zrealizovanie reklamy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Tento proces konkretizovane opisuje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čo urobiť s návrhom reklamy a ako ho spracovať na reálne použitie a kam s reklamou.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6220" w:dyaOrig="10495">
          <v:rect xmlns:o="urn:schemas-microsoft-com:office:office" xmlns:v="urn:schemas-microsoft-com:vml" id="rectole0000000016" style="width:311.000000pt;height:524.7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7"/>
        </w:object>
      </w:r>
    </w:p>
    <w:p>
      <w:pPr>
        <w:numPr>
          <w:ilvl w:val="0"/>
          <w:numId w:val="230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zrealizovanie reklamy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Lines w:val="true"/>
        <w:numPr>
          <w:ilvl w:val="0"/>
          <w:numId w:val="232"/>
        </w:numPr>
        <w:spacing w:before="24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Príprava výrobkov na odovzdanie</w:t>
      </w: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spacing w:before="6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keepLines w:val="true"/>
        <w:spacing w:before="60" w:after="60" w:line="240"/>
        <w:ind w:right="0" w:left="0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0"/>
          <w:shd w:fill="auto" w:val="clear"/>
        </w:rPr>
        <w:t xml:space="preserve">Martin</w:t>
      </w:r>
    </w:p>
    <w:p>
      <w:pPr>
        <w:keepLines w:val="true"/>
        <w:spacing w:before="6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881" w:dyaOrig="10785">
          <v:rect xmlns:o="urn:schemas-microsoft-com:office:office" xmlns:v="urn:schemas-microsoft-com:vml" id="rectole0000000017" style="width:244.050000pt;height:539.25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9"/>
        </w:object>
      </w:r>
    </w:p>
    <w:p>
      <w:pPr>
        <w:numPr>
          <w:ilvl w:val="0"/>
          <w:numId w:val="237"/>
        </w:numPr>
        <w:spacing w:before="6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actitivy - priprava vyrobkov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73">
    <w:lvl w:ilvl="0">
      <w:start w:val="1"/>
      <w:numFmt w:val="decimal"/>
      <w:lvlText w:val="%1."/>
    </w:lvl>
  </w:abstractNum>
  <w:abstractNum w:abstractNumId="79">
    <w:lvl w:ilvl="0">
      <w:start w:val="1"/>
      <w:numFmt w:val="decimal"/>
      <w:lvlText w:val="%1."/>
    </w:lvl>
  </w:abstractNum>
  <w:abstractNum w:abstractNumId="85">
    <w:lvl w:ilvl="0">
      <w:start w:val="1"/>
      <w:numFmt w:val="decimal"/>
      <w:lvlText w:val="%1."/>
    </w:lvl>
  </w:abstractNum>
  <w:abstractNum w:abstractNumId="91">
    <w:lvl w:ilvl="0">
      <w:start w:val="1"/>
      <w:numFmt w:val="decimal"/>
      <w:lvlText w:val="%1."/>
    </w:lvl>
  </w:abstractNum>
  <w:abstractNum w:abstractNumId="97">
    <w:lvl w:ilvl="0">
      <w:start w:val="1"/>
      <w:numFmt w:val="decimal"/>
      <w:lvlText w:val="%1."/>
    </w:lvl>
  </w:abstractNum>
  <w:abstractNum w:abstractNumId="103">
    <w:lvl w:ilvl="0">
      <w:start w:val="1"/>
      <w:numFmt w:val="decimal"/>
      <w:lvlText w:val="%1."/>
    </w:lvl>
  </w:abstractNum>
  <w:abstractNum w:abstractNumId="109">
    <w:lvl w:ilvl="0">
      <w:start w:val="1"/>
      <w:numFmt w:val="decimal"/>
      <w:lvlText w:val="%1."/>
    </w:lvl>
  </w:abstractNum>
  <w:abstractNum w:abstractNumId="115">
    <w:lvl w:ilvl="0">
      <w:start w:val="1"/>
      <w:numFmt w:val="decimal"/>
      <w:lvlText w:val="%1."/>
    </w:lvl>
  </w:abstractNum>
  <w:abstractNum w:abstractNumId="121">
    <w:lvl w:ilvl="0">
      <w:start w:val="1"/>
      <w:numFmt w:val="decimal"/>
      <w:lvlText w:val="%1."/>
    </w:lvl>
  </w:abstractNum>
  <w:abstractNum w:abstractNumId="127">
    <w:lvl w:ilvl="0">
      <w:start w:val="1"/>
      <w:numFmt w:val="decimal"/>
      <w:lvlText w:val="%1."/>
    </w:lvl>
  </w:abstractNum>
  <w:abstractNum w:abstractNumId="133">
    <w:lvl w:ilvl="0">
      <w:start w:val="1"/>
      <w:numFmt w:val="decimal"/>
      <w:lvlText w:val="%1."/>
    </w:lvl>
  </w:abstractNum>
  <w:abstractNum w:abstractNumId="139">
    <w:lvl w:ilvl="0">
      <w:start w:val="1"/>
      <w:numFmt w:val="decimal"/>
      <w:lvlText w:val="%1."/>
    </w:lvl>
  </w:abstractNum>
  <w:abstractNum w:abstractNumId="145">
    <w:lvl w:ilvl="0">
      <w:start w:val="1"/>
      <w:numFmt w:val="decimal"/>
      <w:lvlText w:val="%1."/>
    </w:lvl>
  </w:abstractNum>
  <w:abstractNum w:abstractNumId="151">
    <w:lvl w:ilvl="0">
      <w:start w:val="1"/>
      <w:numFmt w:val="decimal"/>
      <w:lvlText w:val="%1."/>
    </w:lvl>
  </w:abstractNum>
  <w:abstractNum w:abstractNumId="157">
    <w:lvl w:ilvl="0">
      <w:start w:val="1"/>
      <w:numFmt w:val="decimal"/>
      <w:lvlText w:val="%1."/>
    </w:lvl>
  </w:abstractNum>
  <w:abstractNum w:abstractNumId="163">
    <w:lvl w:ilvl="0">
      <w:start w:val="1"/>
      <w:numFmt w:val="decimal"/>
      <w:lvlText w:val="%1."/>
    </w:lvl>
  </w:abstractNum>
  <w:abstractNum w:abstractNumId="169">
    <w:lvl w:ilvl="0">
      <w:start w:val="1"/>
      <w:numFmt w:val="decimal"/>
      <w:lvlText w:val="%1."/>
    </w:lvl>
  </w:abstractNum>
  <w:abstractNum w:abstractNumId="175">
    <w:lvl w:ilvl="0">
      <w:start w:val="1"/>
      <w:numFmt w:val="decimal"/>
      <w:lvlText w:val="%1."/>
    </w:lvl>
  </w:abstractNum>
  <w:abstractNum w:abstractNumId="181">
    <w:lvl w:ilvl="0">
      <w:start w:val="1"/>
      <w:numFmt w:val="decimal"/>
      <w:lvlText w:val="%1."/>
    </w:lvl>
  </w:abstractNum>
  <w:abstractNum w:abstractNumId="187">
    <w:lvl w:ilvl="0">
      <w:start w:val="1"/>
      <w:numFmt w:val="decimal"/>
      <w:lvlText w:val="%1."/>
    </w:lvl>
  </w:abstractNum>
  <w:abstractNum w:abstractNumId="193">
    <w:lvl w:ilvl="0">
      <w:start w:val="1"/>
      <w:numFmt w:val="decimal"/>
      <w:lvlText w:val="%1."/>
    </w:lvl>
  </w:abstractNum>
  <w:abstractNum w:abstractNumId="199">
    <w:lvl w:ilvl="0">
      <w:start w:val="1"/>
      <w:numFmt w:val="decimal"/>
      <w:lvlText w:val="%1."/>
    </w:lvl>
  </w:abstractNum>
  <w:abstractNum w:abstractNumId="205">
    <w:lvl w:ilvl="0">
      <w:start w:val="1"/>
      <w:numFmt w:val="decimal"/>
      <w:lvlText w:val="%1."/>
    </w:lvl>
  </w:abstractNum>
  <w:abstractNum w:abstractNumId="211">
    <w:lvl w:ilvl="0">
      <w:start w:val="1"/>
      <w:numFmt w:val="decimal"/>
      <w:lvlText w:val="%1."/>
    </w:lvl>
  </w:abstractNum>
  <w:abstractNum w:abstractNumId="217">
    <w:lvl w:ilvl="0">
      <w:start w:val="1"/>
      <w:numFmt w:val="decimal"/>
      <w:lvlText w:val="%1."/>
    </w:lvl>
  </w:abstractNum>
  <w:abstractNum w:abstractNumId="223">
    <w:lvl w:ilvl="0">
      <w:start w:val="1"/>
      <w:numFmt w:val="decimal"/>
      <w:lvlText w:val="%1."/>
    </w:lvl>
  </w:abstractNum>
  <w:abstractNum w:abstractNumId="229">
    <w:lvl w:ilvl="0">
      <w:start w:val="1"/>
      <w:numFmt w:val="decimal"/>
      <w:lvlText w:val="%1."/>
    </w:lvl>
  </w:abstractNum>
  <w:abstractNum w:abstractNumId="235">
    <w:lvl w:ilvl="0">
      <w:start w:val="1"/>
      <w:numFmt w:val="decimal"/>
      <w:lvlText w:val="%1."/>
    </w:lvl>
  </w:abstractNum>
  <w:num w:numId="42">
    <w:abstractNumId w:val="235"/>
  </w:num>
  <w:num w:numId="45">
    <w:abstractNumId w:val="229"/>
  </w:num>
  <w:num w:numId="48">
    <w:abstractNumId w:val="223"/>
  </w:num>
  <w:num w:numId="51">
    <w:abstractNumId w:val="217"/>
  </w:num>
  <w:num w:numId="55">
    <w:abstractNumId w:val="211"/>
  </w:num>
  <w:num w:numId="58">
    <w:abstractNumId w:val="205"/>
  </w:num>
  <w:num w:numId="63">
    <w:abstractNumId w:val="199"/>
  </w:num>
  <w:num w:numId="67">
    <w:abstractNumId w:val="193"/>
  </w:num>
  <w:num w:numId="71">
    <w:abstractNumId w:val="187"/>
  </w:num>
  <w:num w:numId="75">
    <w:abstractNumId w:val="181"/>
  </w:num>
  <w:num w:numId="79">
    <w:abstractNumId w:val="175"/>
  </w:num>
  <w:num w:numId="83">
    <w:abstractNumId w:val="169"/>
  </w:num>
  <w:num w:numId="85">
    <w:abstractNumId w:val="163"/>
  </w:num>
  <w:num w:numId="107">
    <w:abstractNumId w:val="157"/>
  </w:num>
  <w:num w:numId="116">
    <w:abstractNumId w:val="151"/>
  </w:num>
  <w:num w:numId="145">
    <w:abstractNumId w:val="145"/>
  </w:num>
  <w:num w:numId="148">
    <w:abstractNumId w:val="139"/>
  </w:num>
  <w:num w:numId="151">
    <w:abstractNumId w:val="133"/>
  </w:num>
  <w:num w:numId="156">
    <w:abstractNumId w:val="127"/>
  </w:num>
  <w:num w:numId="158">
    <w:abstractNumId w:val="121"/>
  </w:num>
  <w:num w:numId="162">
    <w:abstractNumId w:val="115"/>
  </w:num>
  <w:num w:numId="168">
    <w:abstractNumId w:val="109"/>
  </w:num>
  <w:num w:numId="171">
    <w:abstractNumId w:val="103"/>
  </w:num>
  <w:num w:numId="176">
    <w:abstractNumId w:val="97"/>
  </w:num>
  <w:num w:numId="179">
    <w:abstractNumId w:val="91"/>
  </w:num>
  <w:num w:numId="184">
    <w:abstractNumId w:val="85"/>
  </w:num>
  <w:num w:numId="187">
    <w:abstractNumId w:val="79"/>
  </w:num>
  <w:num w:numId="192">
    <w:abstractNumId w:val="73"/>
  </w:num>
  <w:num w:numId="195">
    <w:abstractNumId w:val="67"/>
  </w:num>
  <w:num w:numId="200">
    <w:abstractNumId w:val="61"/>
  </w:num>
  <w:num w:numId="203">
    <w:abstractNumId w:val="55"/>
  </w:num>
  <w:num w:numId="208">
    <w:abstractNumId w:val="49"/>
  </w:num>
  <w:num w:numId="211">
    <w:abstractNumId w:val="43"/>
  </w:num>
  <w:num w:numId="215">
    <w:abstractNumId w:val="37"/>
  </w:num>
  <w:num w:numId="218">
    <w:abstractNumId w:val="31"/>
  </w:num>
  <w:num w:numId="223">
    <w:abstractNumId w:val="25"/>
  </w:num>
  <w:num w:numId="225">
    <w:abstractNumId w:val="19"/>
  </w:num>
  <w:num w:numId="230">
    <w:abstractNumId w:val="13"/>
  </w:num>
  <w:num w:numId="232">
    <w:abstractNumId w:val="7"/>
  </w:num>
  <w:num w:numId="23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7" Type="http://schemas.openxmlformats.org/officeDocument/2006/relationships/oleObject"/><Relationship Target="media/image4.wmf" Id="docRId14" Type="http://schemas.openxmlformats.org/officeDocument/2006/relationships/image"/><Relationship Target="media/image14.wmf" Id="docRId34" Type="http://schemas.openxmlformats.org/officeDocument/2006/relationships/image"/><Relationship Target="media/image8.wmf" Id="docRId22" Type="http://schemas.openxmlformats.org/officeDocument/2006/relationships/image"/><Relationship Target="embeddings/oleObject2.bin" Id="docRId9" Type="http://schemas.openxmlformats.org/officeDocument/2006/relationships/oleObject"/><Relationship TargetMode="External" Target="https://sk.wikipedia.org/wiki/Trojrozmern%C3%A1_tla%C4%8Diare%C5%88" Id="docRId0" Type="http://schemas.openxmlformats.org/officeDocument/2006/relationships/hyperlink"/><Relationship Target="media/image3.wmf" Id="docRId12" Type="http://schemas.openxmlformats.org/officeDocument/2006/relationships/image"/><Relationship Target="embeddings/oleObject8.bin" Id="docRId21" Type="http://schemas.openxmlformats.org/officeDocument/2006/relationships/oleObject"/><Relationship Target="embeddings/oleObject12.bin" Id="docRId29" Type="http://schemas.openxmlformats.org/officeDocument/2006/relationships/oleObject"/><Relationship Target="media/image15.wmf" Id="docRId36" Type="http://schemas.openxmlformats.org/officeDocument/2006/relationships/image"/><Relationship Target="numbering.xml" Id="docRId41" Type="http://schemas.openxmlformats.org/officeDocument/2006/relationships/numbering"/><Relationship Target="media/image1.wmf" Id="docRId8" Type="http://schemas.openxmlformats.org/officeDocument/2006/relationships/image"/><Relationship Target="embeddings/oleObject4.bin" Id="docRId13" Type="http://schemas.openxmlformats.org/officeDocument/2006/relationships/oleObject"/><Relationship Target="media/image7.wmf" Id="docRId20" Type="http://schemas.openxmlformats.org/officeDocument/2006/relationships/image"/><Relationship Target="media/image11.wmf" Id="docRId28" Type="http://schemas.openxmlformats.org/officeDocument/2006/relationships/image"/><Relationship TargetMode="External" Target="https://sk.wikipedia.org/wiki/Trojrozmern%C3%A1_tla%C4%8Diare%C5%88" Id="docRId3" Type="http://schemas.openxmlformats.org/officeDocument/2006/relationships/hyperlink"/><Relationship Target="embeddings/oleObject16.bin" Id="docRId37" Type="http://schemas.openxmlformats.org/officeDocument/2006/relationships/oleObject"/><Relationship Target="media/image17.wmf" Id="docRId40" Type="http://schemas.openxmlformats.org/officeDocument/2006/relationships/image"/><Relationship Target="media/image2.wmf" Id="docRId10" Type="http://schemas.openxmlformats.org/officeDocument/2006/relationships/image"/><Relationship Target="media/image6.wmf" Id="docRId18" Type="http://schemas.openxmlformats.org/officeDocument/2006/relationships/image"/><Relationship TargetMode="External" Target="http://www.gemma.sk/produkty/tlaciarne/3d-tlaciarne" Id="docRId2" Type="http://schemas.openxmlformats.org/officeDocument/2006/relationships/hyperlink"/><Relationship Target="embeddings/oleObject11.bin" Id="docRId27" Type="http://schemas.openxmlformats.org/officeDocument/2006/relationships/oleObject"/><Relationship Target="media/image12.wmf" Id="docRId30" Type="http://schemas.openxmlformats.org/officeDocument/2006/relationships/image"/><Relationship Target="media/image16.wmf" Id="docRId38" Type="http://schemas.openxmlformats.org/officeDocument/2006/relationships/image"/><Relationship Target="embeddings/oleObject3.bin" Id="docRId11" Type="http://schemas.openxmlformats.org/officeDocument/2006/relationships/oleObject"/><Relationship Target="embeddings/oleObject7.bin" Id="docRId19" Type="http://schemas.openxmlformats.org/officeDocument/2006/relationships/oleObject"/><Relationship Target="media/image10.wmf" Id="docRId26" Type="http://schemas.openxmlformats.org/officeDocument/2006/relationships/image"/><Relationship Target="embeddings/oleObject13.bin" Id="docRId31" Type="http://schemas.openxmlformats.org/officeDocument/2006/relationships/oleObject"/><Relationship Target="embeddings/oleObject17.bin" Id="docRId39" Type="http://schemas.openxmlformats.org/officeDocument/2006/relationships/oleObject"/><Relationship Target="styles.xml" Id="docRId42" Type="http://schemas.openxmlformats.org/officeDocument/2006/relationships/styles"/><Relationship Target="embeddings/oleObject0.bin" Id="docRId5" Type="http://schemas.openxmlformats.org/officeDocument/2006/relationships/oleObject"/><Relationship Target="media/image5.wmf" Id="docRId16" Type="http://schemas.openxmlformats.org/officeDocument/2006/relationships/image"/><Relationship Target="embeddings/oleObject10.bin" Id="docRId25" Type="http://schemas.openxmlformats.org/officeDocument/2006/relationships/oleObject"/><Relationship Target="media/image13.wmf" Id="docRId32" Type="http://schemas.openxmlformats.org/officeDocument/2006/relationships/image"/><Relationship TargetMode="External" Target="http://www.gemma.sk/produkty/tlaciarne/3d-tlaciarne" Id="docRId4" Type="http://schemas.openxmlformats.org/officeDocument/2006/relationships/hyperlink"/><Relationship Target="embeddings/oleObject6.bin" Id="docRId17" Type="http://schemas.openxmlformats.org/officeDocument/2006/relationships/oleObject"/><Relationship Target="media/image9.wmf" Id="docRId24" Type="http://schemas.openxmlformats.org/officeDocument/2006/relationships/image"/><Relationship Target="embeddings/oleObject14.bin" Id="docRId33" Type="http://schemas.openxmlformats.org/officeDocument/2006/relationships/oleObject"/><Relationship Target="embeddings/oleObject9.bin" Id="docRId23" Type="http://schemas.openxmlformats.org/officeDocument/2006/relationships/oleObject"/><Relationship Target="media/image0.wmf" Id="docRId6" Type="http://schemas.openxmlformats.org/officeDocument/2006/relationships/image"/><Relationship TargetMode="External" Target="http://www.svet3d.com/" Id="docRId1" Type="http://schemas.openxmlformats.org/officeDocument/2006/relationships/hyperlink"/><Relationship Target="embeddings/oleObject5.bin" Id="docRId15" Type="http://schemas.openxmlformats.org/officeDocument/2006/relationships/oleObject"/><Relationship Target="embeddings/oleObject15.bin" Id="docRId35" Type="http://schemas.openxmlformats.org/officeDocument/2006/relationships/oleObject"/></Relationships>
</file>