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14B"/>
          <w:sz w:val="40"/>
        </w:rPr>
        <w:t>ROTEIRO DE DEFESA — TCC2</w:t>
      </w:r>
    </w:p>
    <w:p>
      <w:pPr>
        <w:jc w:val="center"/>
      </w:pPr>
      <w:r>
        <w:rPr>
          <w:i/>
          <w:color w:val="595959"/>
          <w:sz w:val="22"/>
        </w:rPr>
        <w:t>Estimativa da propensão à descontinuidade do acompanhamento pré-natal a partir dos Determinantes Sociais da Saúde: uma abordagem com aprendizado de máquina e um índice de vulnerabilidade</w:t>
      </w:r>
    </w:p>
    <w:p>
      <w:pPr>
        <w:jc w:val="center"/>
      </w:pPr>
      <w:r>
        <w:rPr>
          <w:color w:val="595959"/>
          <w:sz w:val="20"/>
        </w:rPr>
        <w:t>Antônio Hárliton Martins de Souza — Bacharelado em Engenharia de Software — IFAM</w:t>
        <w:br/>
        <w:t>Duração-alvo: ~23–25 minutos (apresentação) · margem para perguntas</w:t>
      </w:r>
    </w:p>
    <w:p/>
    <w:p>
      <w:pPr>
        <w:pStyle w:val="Heading1"/>
      </w:pPr>
      <w:r>
        <w:rPr>
          <w:rFonts w:ascii="Arial" w:hAnsi="Arial"/>
          <w:color w:val="00314B"/>
          <w:sz w:val="32"/>
        </w:rPr>
        <w:t>Como usar este roteiro</w:t>
      </w:r>
    </w:p>
    <w:p>
      <w:pPr>
        <w:spacing w:after="80"/>
      </w:pPr>
      <w:r>
        <w:t>Este documento é o roteiro falado, slide a slide. A fala sugerida complementa o que está na tela; não deve ser lida literalmente. Os tempos indicados são referenciais e somam cerca de 23 minutos; há orientações de compressão (20 min) e aprofundamento (30 min) no final.</w:t>
      </w:r>
    </w:p>
    <w:p>
      <w:pPr>
        <w:spacing w:after="80"/>
      </w:pPr>
      <w:r>
        <w:t>Convenções:</w:t>
      </w:r>
    </w:p>
    <w:p>
      <w:pPr>
        <w:pStyle w:val="ListBullet"/>
        <w:spacing w:after="20"/>
      </w:pPr>
      <w:r>
        <w:t>Tempo / acumulado — duração do slide e marca acumulada da apresentação.</w:t>
      </w:r>
    </w:p>
    <w:p>
      <w:pPr>
        <w:pStyle w:val="ListBullet"/>
        <w:spacing w:after="20"/>
      </w:pPr>
      <w:r>
        <w:t>Fala sugerida — texto de apoio; fale com suas palavras, olhando para a banca.</w:t>
      </w:r>
    </w:p>
    <w:p>
      <w:pPr>
        <w:pStyle w:val="ListBullet"/>
        <w:spacing w:after="20"/>
      </w:pPr>
      <w:r>
        <w:t>Transição — ponte para o slide seguinte.</w:t>
      </w:r>
    </w:p>
    <w:p>
      <w:pPr>
        <w:pStyle w:val="ListBullet"/>
        <w:spacing w:after="20"/>
      </w:pPr>
      <w:r>
        <w:t>Ênfase — ponto que deve ficar claro, mesmo se houver pressa.</w:t>
      </w:r>
    </w:p>
    <w:p>
      <w:pPr>
        <w:pStyle w:val="ListBullet"/>
        <w:spacing w:after="20"/>
      </w:pPr>
      <w:r>
        <w:t>Alerta — termo que costuma gerar pergunta; diga com cuidado e sem exagero científico.</w:t>
      </w:r>
    </w:p>
    <w:p/>
    <w:p>
      <w:pPr>
        <w:pStyle w:val="Heading1"/>
      </w:pPr>
      <w:r>
        <w:rPr>
          <w:rFonts w:ascii="Arial" w:hAnsi="Arial"/>
          <w:color w:val="00314B"/>
          <w:sz w:val="32"/>
        </w:rPr>
        <w:t>Resumo de tempo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Slide</w:t>
            </w:r>
          </w:p>
        </w:tc>
        <w:tc>
          <w:tcPr>
            <w:tcW w:type="dxa" w:w="2880"/>
          </w:tcPr>
          <w:p>
            <w:r>
              <w:t>Tempo</w:t>
            </w:r>
          </w:p>
        </w:tc>
        <w:tc>
          <w:tcPr>
            <w:tcW w:type="dxa" w:w="2880"/>
          </w:tcPr>
          <w:p>
            <w:r>
              <w:t>Acumulado</w:t>
            </w:r>
          </w:p>
        </w:tc>
      </w:tr>
      <w:tr>
        <w:tc>
          <w:tcPr>
            <w:tcW w:type="dxa" w:w="2880"/>
          </w:tcPr>
          <w:p>
            <w:r>
              <w:t>1. Capa</w:t>
            </w:r>
          </w:p>
        </w:tc>
        <w:tc>
          <w:tcPr>
            <w:tcW w:type="dxa" w:w="2880"/>
          </w:tcPr>
          <w:p>
            <w:r>
              <w:t>0:10</w:t>
            </w:r>
          </w:p>
        </w:tc>
        <w:tc>
          <w:tcPr>
            <w:tcW w:type="dxa" w:w="2880"/>
          </w:tcPr>
          <w:p>
            <w:r>
              <w:t>0:10</w:t>
            </w:r>
          </w:p>
        </w:tc>
      </w:tr>
      <w:tr>
        <w:tc>
          <w:tcPr>
            <w:tcW w:type="dxa" w:w="2880"/>
          </w:tcPr>
          <w:p>
            <w:r>
              <w:t>2. Percurso</w:t>
            </w:r>
          </w:p>
        </w:tc>
        <w:tc>
          <w:tcPr>
            <w:tcW w:type="dxa" w:w="2880"/>
          </w:tcPr>
          <w:p>
            <w:r>
              <w:t>0:15</w:t>
            </w:r>
          </w:p>
        </w:tc>
        <w:tc>
          <w:tcPr>
            <w:tcW w:type="dxa" w:w="2880"/>
          </w:tcPr>
          <w:p>
            <w:r>
              <w:t>0:25</w:t>
            </w:r>
          </w:p>
        </w:tc>
      </w:tr>
      <w:tr>
        <w:tc>
          <w:tcPr>
            <w:tcW w:type="dxa" w:w="2880"/>
          </w:tcPr>
          <w:p>
            <w:r>
              <w:t>3. Contexto do pré-natal</w:t>
            </w:r>
          </w:p>
        </w:tc>
        <w:tc>
          <w:tcPr>
            <w:tcW w:type="dxa" w:w="2880"/>
          </w:tcPr>
          <w:p>
            <w:r>
              <w:t>0:45</w:t>
            </w:r>
          </w:p>
        </w:tc>
        <w:tc>
          <w:tcPr>
            <w:tcW w:type="dxa" w:w="2880"/>
          </w:tcPr>
          <w:p>
            <w:r>
              <w:t>1:10</w:t>
            </w:r>
          </w:p>
        </w:tc>
      </w:tr>
      <w:tr>
        <w:tc>
          <w:tcPr>
            <w:tcW w:type="dxa" w:w="2880"/>
          </w:tcPr>
          <w:p>
            <w:r>
              <w:t>4. Problema</w:t>
            </w:r>
          </w:p>
        </w:tc>
        <w:tc>
          <w:tcPr>
            <w:tcW w:type="dxa" w:w="2880"/>
          </w:tcPr>
          <w:p>
            <w:r>
              <w:t>1:00</w:t>
            </w:r>
          </w:p>
        </w:tc>
        <w:tc>
          <w:tcPr>
            <w:tcW w:type="dxa" w:w="2880"/>
          </w:tcPr>
          <w:p>
            <w:r>
              <w:t>2:10</w:t>
            </w:r>
          </w:p>
        </w:tc>
      </w:tr>
      <w:tr>
        <w:tc>
          <w:tcPr>
            <w:tcW w:type="dxa" w:w="2880"/>
          </w:tcPr>
          <w:p>
            <w:r>
              <w:t>5. Justificativa e diferencial</w:t>
            </w:r>
          </w:p>
        </w:tc>
        <w:tc>
          <w:tcPr>
            <w:tcW w:type="dxa" w:w="2880"/>
          </w:tcPr>
          <w:p>
            <w:r>
              <w:t>0:45</w:t>
            </w:r>
          </w:p>
        </w:tc>
        <w:tc>
          <w:tcPr>
            <w:tcW w:type="dxa" w:w="2880"/>
          </w:tcPr>
          <w:p>
            <w:r>
              <w:t>2:55</w:t>
            </w:r>
          </w:p>
        </w:tc>
      </w:tr>
      <w:tr>
        <w:tc>
          <w:tcPr>
            <w:tcW w:type="dxa" w:w="2880"/>
          </w:tcPr>
          <w:p>
            <w:r>
              <w:t>6. Questão e objetivo</w:t>
            </w:r>
          </w:p>
        </w:tc>
        <w:tc>
          <w:tcPr>
            <w:tcW w:type="dxa" w:w="2880"/>
          </w:tcPr>
          <w:p>
            <w:r>
              <w:t>0:50</w:t>
            </w:r>
          </w:p>
        </w:tc>
        <w:tc>
          <w:tcPr>
            <w:tcW w:type="dxa" w:w="2880"/>
          </w:tcPr>
          <w:p>
            <w:r>
              <w:t>3:45</w:t>
            </w:r>
          </w:p>
        </w:tc>
      </w:tr>
      <w:tr>
        <w:tc>
          <w:tcPr>
            <w:tcW w:type="dxa" w:w="2880"/>
          </w:tcPr>
          <w:p>
            <w:r>
              <w:t>7. DSS (seis dimensões)</w:t>
            </w:r>
          </w:p>
        </w:tc>
        <w:tc>
          <w:tcPr>
            <w:tcW w:type="dxa" w:w="2880"/>
          </w:tcPr>
          <w:p>
            <w:r>
              <w:t>0:50</w:t>
            </w:r>
          </w:p>
        </w:tc>
        <w:tc>
          <w:tcPr>
            <w:tcW w:type="dxa" w:w="2880"/>
          </w:tcPr>
          <w:p>
            <w:r>
              <w:t>4:35</w:t>
            </w:r>
          </w:p>
        </w:tc>
      </w:tr>
      <w:tr>
        <w:tc>
          <w:tcPr>
            <w:tcW w:type="dxa" w:w="2880"/>
          </w:tcPr>
          <w:p>
            <w:r>
              <w:t>8. Visão geral da solução</w:t>
            </w:r>
          </w:p>
        </w:tc>
        <w:tc>
          <w:tcPr>
            <w:tcW w:type="dxa" w:w="2880"/>
          </w:tcPr>
          <w:p>
            <w:r>
              <w:t>0:50</w:t>
            </w:r>
          </w:p>
        </w:tc>
        <w:tc>
          <w:tcPr>
            <w:tcW w:type="dxa" w:w="2880"/>
          </w:tcPr>
          <w:p>
            <w:r>
              <w:t>5:25</w:t>
            </w:r>
          </w:p>
        </w:tc>
      </w:tr>
      <w:tr>
        <w:tc>
          <w:tcPr>
            <w:tcW w:type="dxa" w:w="2880"/>
          </w:tcPr>
          <w:p>
            <w:r>
              <w:t>9. Questionário DSS</w:t>
            </w:r>
          </w:p>
        </w:tc>
        <w:tc>
          <w:tcPr>
            <w:tcW w:type="dxa" w:w="2880"/>
          </w:tcPr>
          <w:p>
            <w:r>
              <w:t>0:45</w:t>
            </w:r>
          </w:p>
        </w:tc>
        <w:tc>
          <w:tcPr>
            <w:tcW w:type="dxa" w:w="2880"/>
          </w:tcPr>
          <w:p>
            <w:r>
              <w:t>6:10</w:t>
            </w:r>
          </w:p>
        </w:tc>
      </w:tr>
      <w:tr>
        <w:tc>
          <w:tcPr>
            <w:tcW w:type="dxa" w:w="2880"/>
          </w:tcPr>
          <w:p>
            <w:r>
              <w:t>10. IV-DSS</w:t>
            </w:r>
          </w:p>
        </w:tc>
        <w:tc>
          <w:tcPr>
            <w:tcW w:type="dxa" w:w="2880"/>
          </w:tcPr>
          <w:p>
            <w:r>
              <w:t>1:10</w:t>
            </w:r>
          </w:p>
        </w:tc>
        <w:tc>
          <w:tcPr>
            <w:tcW w:type="dxa" w:w="2880"/>
          </w:tcPr>
          <w:p>
            <w:r>
              <w:t>7:20</w:t>
            </w:r>
          </w:p>
        </w:tc>
      </w:tr>
      <w:tr>
        <w:tc>
          <w:tcPr>
            <w:tcW w:type="dxa" w:w="2880"/>
          </w:tcPr>
          <w:p>
            <w:r>
              <w:t>11. Conjunto de dados sintético</w:t>
            </w:r>
          </w:p>
        </w:tc>
        <w:tc>
          <w:tcPr>
            <w:tcW w:type="dxa" w:w="2880"/>
          </w:tcPr>
          <w:p>
            <w:r>
              <w:t>1:10</w:t>
            </w:r>
          </w:p>
        </w:tc>
        <w:tc>
          <w:tcPr>
            <w:tcW w:type="dxa" w:w="2880"/>
          </w:tcPr>
          <w:p>
            <w:r>
              <w:t>8:30</w:t>
            </w:r>
          </w:p>
        </w:tc>
      </w:tr>
      <w:tr>
        <w:tc>
          <w:tcPr>
            <w:tcW w:type="dxa" w:w="2880"/>
          </w:tcPr>
          <w:p>
            <w:r>
              <w:t>12. Random Forest</w:t>
            </w:r>
          </w:p>
        </w:tc>
        <w:tc>
          <w:tcPr>
            <w:tcW w:type="dxa" w:w="2880"/>
          </w:tcPr>
          <w:p>
            <w:r>
              <w:t>0:50</w:t>
            </w:r>
          </w:p>
        </w:tc>
        <w:tc>
          <w:tcPr>
            <w:tcW w:type="dxa" w:w="2880"/>
          </w:tcPr>
          <w:p>
            <w:r>
              <w:t>9:20</w:t>
            </w:r>
          </w:p>
        </w:tc>
      </w:tr>
      <w:tr>
        <w:tc>
          <w:tcPr>
            <w:tcW w:type="dxa" w:w="2880"/>
          </w:tcPr>
          <w:p>
            <w:r>
              <w:t>13. SOM (papel exploratório)</w:t>
            </w:r>
          </w:p>
        </w:tc>
        <w:tc>
          <w:tcPr>
            <w:tcW w:type="dxa" w:w="2880"/>
          </w:tcPr>
          <w:p>
            <w:r>
              <w:t>0:50</w:t>
            </w:r>
          </w:p>
        </w:tc>
        <w:tc>
          <w:tcPr>
            <w:tcW w:type="dxa" w:w="2880"/>
          </w:tcPr>
          <w:p>
            <w:r>
              <w:t>10:10</w:t>
            </w:r>
          </w:p>
        </w:tc>
      </w:tr>
      <w:tr>
        <w:tc>
          <w:tcPr>
            <w:tcW w:type="dxa" w:w="2880"/>
          </w:tcPr>
          <w:p>
            <w:r>
              <w:t>14. Fluxo experimental</w:t>
            </w:r>
          </w:p>
        </w:tc>
        <w:tc>
          <w:tcPr>
            <w:tcW w:type="dxa" w:w="2880"/>
          </w:tcPr>
          <w:p>
            <w:r>
              <w:t>0:40</w:t>
            </w:r>
          </w:p>
        </w:tc>
        <w:tc>
          <w:tcPr>
            <w:tcW w:type="dxa" w:w="2880"/>
          </w:tcPr>
          <w:p>
            <w:r>
              <w:t>10:50</w:t>
            </w:r>
          </w:p>
        </w:tc>
      </w:tr>
      <w:tr>
        <w:tc>
          <w:tcPr>
            <w:tcW w:type="dxa" w:w="2880"/>
          </w:tcPr>
          <w:p>
            <w:r>
              <w:t>15. Resultados RF — comparação</w:t>
            </w:r>
          </w:p>
        </w:tc>
        <w:tc>
          <w:tcPr>
            <w:tcW w:type="dxa" w:w="2880"/>
          </w:tcPr>
          <w:p>
            <w:r>
              <w:t>0:50</w:t>
            </w:r>
          </w:p>
        </w:tc>
        <w:tc>
          <w:tcPr>
            <w:tcW w:type="dxa" w:w="2880"/>
          </w:tcPr>
          <w:p>
            <w:r>
              <w:t>11:40</w:t>
            </w:r>
          </w:p>
        </w:tc>
      </w:tr>
      <w:tr>
        <w:tc>
          <w:tcPr>
            <w:tcW w:type="dxa" w:w="2880"/>
          </w:tcPr>
          <w:p>
            <w:r>
              <w:t>16. Resultados RF — hold-out</w:t>
            </w:r>
          </w:p>
        </w:tc>
        <w:tc>
          <w:tcPr>
            <w:tcW w:type="dxa" w:w="2880"/>
          </w:tcPr>
          <w:p>
            <w:r>
              <w:t>1:10</w:t>
            </w:r>
          </w:p>
        </w:tc>
        <w:tc>
          <w:tcPr>
            <w:tcW w:type="dxa" w:w="2880"/>
          </w:tcPr>
          <w:p>
            <w:r>
              <w:t>12:50</w:t>
            </w:r>
          </w:p>
        </w:tc>
      </w:tr>
      <w:tr>
        <w:tc>
          <w:tcPr>
            <w:tcW w:type="dxa" w:w="2880"/>
          </w:tcPr>
          <w:p>
            <w:r>
              <w:t>17. Resultados SOM</w:t>
            </w:r>
          </w:p>
        </w:tc>
        <w:tc>
          <w:tcPr>
            <w:tcW w:type="dxa" w:w="2880"/>
          </w:tcPr>
          <w:p>
            <w:r>
              <w:t>0:50</w:t>
            </w:r>
          </w:p>
        </w:tc>
        <w:tc>
          <w:tcPr>
            <w:tcW w:type="dxa" w:w="2880"/>
          </w:tcPr>
          <w:p>
            <w:r>
              <w:t>13:40</w:t>
            </w:r>
          </w:p>
        </w:tc>
      </w:tr>
      <w:tr>
        <w:tc>
          <w:tcPr>
            <w:tcW w:type="dxa" w:w="2880"/>
          </w:tcPr>
          <w:p>
            <w:r>
              <w:t>18. Funcionamento do aplicativo</w:t>
            </w:r>
          </w:p>
        </w:tc>
        <w:tc>
          <w:tcPr>
            <w:tcW w:type="dxa" w:w="2880"/>
          </w:tcPr>
          <w:p>
            <w:r>
              <w:t>0:50</w:t>
            </w:r>
          </w:p>
        </w:tc>
        <w:tc>
          <w:tcPr>
            <w:tcW w:type="dxa" w:w="2880"/>
          </w:tcPr>
          <w:p>
            <w:r>
              <w:t>14:30</w:t>
            </w:r>
          </w:p>
        </w:tc>
      </w:tr>
      <w:tr>
        <w:tc>
          <w:tcPr>
            <w:tcW w:type="dxa" w:w="2880"/>
          </w:tcPr>
          <w:p>
            <w:r>
              <w:t>19. Integração app↔API↔modelo</w:t>
            </w:r>
          </w:p>
        </w:tc>
        <w:tc>
          <w:tcPr>
            <w:tcW w:type="dxa" w:w="2880"/>
          </w:tcPr>
          <w:p>
            <w:r>
              <w:t>0:50</w:t>
            </w:r>
          </w:p>
        </w:tc>
        <w:tc>
          <w:tcPr>
            <w:tcW w:type="dxa" w:w="2880"/>
          </w:tcPr>
          <w:p>
            <w:r>
              <w:t>15:20</w:t>
            </w:r>
          </w:p>
        </w:tc>
      </w:tr>
      <w:tr>
        <w:tc>
          <w:tcPr>
            <w:tcW w:type="dxa" w:w="2880"/>
          </w:tcPr>
          <w:p>
            <w:r>
              <w:t>20. Demonstração prática</w:t>
            </w:r>
          </w:p>
        </w:tc>
        <w:tc>
          <w:tcPr>
            <w:tcW w:type="dxa" w:w="2880"/>
          </w:tcPr>
          <w:p>
            <w:r>
              <w:t>5:00</w:t>
            </w:r>
          </w:p>
        </w:tc>
        <w:tc>
          <w:tcPr>
            <w:tcW w:type="dxa" w:w="2880"/>
          </w:tcPr>
          <w:p>
            <w:r>
              <w:t>20:20</w:t>
            </w:r>
          </w:p>
        </w:tc>
      </w:tr>
      <w:tr>
        <w:tc>
          <w:tcPr>
            <w:tcW w:type="dxa" w:w="2880"/>
          </w:tcPr>
          <w:p>
            <w:r>
              <w:t>21. Limitações e ética</w:t>
            </w:r>
          </w:p>
        </w:tc>
        <w:tc>
          <w:tcPr>
            <w:tcW w:type="dxa" w:w="2880"/>
          </w:tcPr>
          <w:p>
            <w:r>
              <w:t>1:10</w:t>
            </w:r>
          </w:p>
        </w:tc>
        <w:tc>
          <w:tcPr>
            <w:tcW w:type="dxa" w:w="2880"/>
          </w:tcPr>
          <w:p>
            <w:r>
              <w:t>21:30</w:t>
            </w:r>
          </w:p>
        </w:tc>
      </w:tr>
      <w:tr>
        <w:tc>
          <w:tcPr>
            <w:tcW w:type="dxa" w:w="2880"/>
          </w:tcPr>
          <w:p>
            <w:r>
              <w:t>22. Contribuições e trabalhos futuros</w:t>
            </w:r>
          </w:p>
        </w:tc>
        <w:tc>
          <w:tcPr>
            <w:tcW w:type="dxa" w:w="2880"/>
          </w:tcPr>
          <w:p>
            <w:r>
              <w:t>0:50</w:t>
            </w:r>
          </w:p>
        </w:tc>
        <w:tc>
          <w:tcPr>
            <w:tcW w:type="dxa" w:w="2880"/>
          </w:tcPr>
          <w:p>
            <w:r>
              <w:t>22:20</w:t>
            </w:r>
          </w:p>
        </w:tc>
      </w:tr>
      <w:tr>
        <w:tc>
          <w:tcPr>
            <w:tcW w:type="dxa" w:w="2880"/>
          </w:tcPr>
          <w:p>
            <w:r>
              <w:t>23. Conclusão</w:t>
            </w:r>
          </w:p>
        </w:tc>
        <w:tc>
          <w:tcPr>
            <w:tcW w:type="dxa" w:w="2880"/>
          </w:tcPr>
          <w:p>
            <w:r>
              <w:t>0:30</w:t>
            </w:r>
          </w:p>
        </w:tc>
        <w:tc>
          <w:tcPr>
            <w:tcW w:type="dxa" w:w="2880"/>
          </w:tcPr>
          <w:p>
            <w:r>
              <w:t>22:50</w:t>
            </w:r>
          </w:p>
        </w:tc>
      </w:tr>
      <w:tr>
        <w:tc>
          <w:tcPr>
            <w:tcW w:type="dxa" w:w="2880"/>
          </w:tcPr>
          <w:p>
            <w:r>
              <w:t>24. Encerramento</w:t>
            </w:r>
          </w:p>
        </w:tc>
        <w:tc>
          <w:tcPr>
            <w:tcW w:type="dxa" w:w="2880"/>
          </w:tcPr>
          <w:p>
            <w:r>
              <w:t>0:10</w:t>
            </w:r>
          </w:p>
        </w:tc>
        <w:tc>
          <w:tcPr>
            <w:tcW w:type="dxa" w:w="2880"/>
          </w:tcPr>
          <w:p>
            <w:r>
              <w:t>23:00</w:t>
            </w:r>
          </w:p>
        </w:tc>
      </w:tr>
    </w:tbl>
    <w:p>
      <w:r>
        <w:rPr>
          <w:i/>
          <w:color w:val="595959"/>
          <w:sz w:val="18"/>
        </w:rPr>
        <w:t>Total falado ≈ 23:00 (com demonstração ao vivo de 5:00). Compressão para 20 min e aprofundamento para 30 min estão na seção final.</w:t>
      </w:r>
    </w:p>
    <w:p/>
    <w:p>
      <w:pPr>
        <w:pStyle w:val="Heading1"/>
      </w:pPr>
      <w:r>
        <w:rPr>
          <w:rFonts w:ascii="Arial" w:hAnsi="Arial"/>
          <w:color w:val="00314B"/>
          <w:sz w:val="32"/>
        </w:rPr>
        <w:t>Roteiro slide a slide</w:t>
      </w:r>
    </w:p>
    <w:p>
      <w:pPr>
        <w:pStyle w:val="Heading2"/>
      </w:pPr>
      <w:r>
        <w:rPr>
          <w:rFonts w:ascii="Arial" w:hAnsi="Arial"/>
          <w:color w:val="00314B"/>
          <w:sz w:val="26"/>
        </w:rPr>
        <w:t>Slide 1 — Capa  (0:10)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Anunciar o trabalho e cumprimentar a banca.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Boa tarde. Meu nome é Antônio Hárliton Martins de Souza, e apresento o trabalho de conclusão de curso 'Estimativa da propensão à descontinuidade do acompanhamento pré-natal a partir dos Determinantes Sociais da Saúde', sob orientação do professor mestre Benevaldo Pereira Gonçalves.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Vou apresentar o percurso da defesa.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Título com as três palavras-chave: propensão, pré-natal, determinantes sociais.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2 — Percurso  (0:15)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Mostrar a estrutura da apresentação.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Nestes próximos minutos, passo pelo contexto e pelo problema, pelos objetivos, pela fundamentação em determinantes sociais e pelo índice de vulnerabilidade, pela metodologia com dados sintéticos, pela solução desenvolvida, pelos resultados do experimento, por uma demonstração do aplicativo e, por fim, limitações e contribuições.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Começo pelo contexto.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Deixar claro que haverá uma demonstração depois dos resultados.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3 — Contexto do pré-natal  (0:45)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Situar a importância do pré-natal.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O pré-natal é a principal estratégia de cuidado da gestação. Ele prevê complicações e protege a saúde da mãe e do bebê. O Ministério da Saúde orienta a captação precoce e consultas periódicas, e é exatamente a continuidade desse acompanhamento que define boa parte dos desfechos.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Mas essa continuidade nem sempre acontece.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A continuidade — não apenas a realização — é o ponto central.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4 — Problema  (1:00)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Apresentar o problema da descontinuidade e sua raiz social.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A descontinuidade do pré-natal se associa a piores desfechos. E ela não é aleatória: barreiras de acesso e condições sociais — educação, renda, habitação, acesso a serviços — atuam em conjunto. Quero destacar que a interrupção nem sempre é uma escolha individual; muitas vezes ela reflete condições estruturais.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É por isso que olhamos para os Determinantes Sociais da Saúde.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Fenômeno com raízes sociais, não apenas individuais.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Evite dizer que a gestante 'abandona' por vontade própria.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5 — Justificativa e diferencial  (0:45)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Justificar o trabalho e marcar o diferencial.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O diferencial deste trabalho é integrar, em uma única solução, a coleta dos determinantes sociais e o acompanhamento pré-natal. A partir dos determinantes, caracterizamos a vulnerabilidade social por um índice e estimamos a propensão por aprendizado de máquina, tudo em um aplicativo móvel acessível.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Isso define a pergunta e o objetivo.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Integração questionário + estimativa + acompanhamento no mesmo app.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6 — Questão e objetivo  (0:50)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Fixar a pergunta de pesquisa e o objetivo geral.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A pergunta que orienta o trabalho é: em que medida uma abordagem experimental de aprendizado de máquina, baseada nos determinantes sociais e avaliada com dados sintéticos, estima a propensão à descontinuidade do pré-natal? O objetivo geral é desenvolver o aplicativo móvel, construir o IV-DSS e um modelo que estime essa propensão.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Para isso, partimos de um referencial.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Ressaltar o caráter 'experimental' e 'sintético' desde o início.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'Experimental' e 'sintético' são palavras-chave; repita-as.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7 — DSS (seis dimensões)  (0:50)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Apresentar os Determinantes Sociais da Saúde.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A figura mostra o modelo dos determinantes sociais em camadas, de Dahlgren e Whitehead, adotado pela OMS. Dele derivamos as seis dimensões do questionário: educação, trabalho e renda, saneamento, acesso a serviços de saúde, habitação e alimentação.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A partir disso, estruturamos a solução.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As seis dimensões do questionário vêm deste modelo.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8 — Visão geral da solução  (0:50)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Mostrar a arquitetura em alto nível.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A solução tem três partes: o aplicativo móvel, que coleta os determinantes e apoia o acompanhamento; o servidor, que recebe, valida e persiste os dados; e o pacote de aprendizado de máquina, que estima a propensão. O IV-DSS caracteriza a vulnerabilidade social.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A porta de entrada é o questionário dos DSS.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Três camadas: app, servidor/API, aprendizado de máquina.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Não entrar em nomes de endpoints ou classes.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9 — Questionário DSS  (0:45)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Mostrar o questionário estruturado.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O questionário é um formulário estruturado, sem texto livre, com 48 variáveis distribuídas nas seis dimensões. As respostas usam seleção única, binárias, múltipla escolha e condicionais, com um contrato de dados versionado.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Essas respostas alimentam o IV-DSS.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Formulário estruturado, sem texto livre.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Dizer 'contrato de dados versionado' em vez de nomes técnicos.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10 — IV-DSS  (1:10)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Explicar o índice de vulnerabilidade.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O IV-DSS é um índice descritivo e experimental de vulnerabilidade social, em uma escala de 0 a 1 — zero para menor vulnerabilidade e um para maior. Ele é a média das seis dimensões, com pesos iguais. É importante: ele caracteriza o perfil social, mas NÃO é a estimativa do modelo e NÃO é um diagnóstico.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O experimento usa dados sintéticos.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Índice descritivo (0–1), média de seis dimensões; não é diagnóstico.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'Não é diagnóstico' — repetir com clareza; gera pergunta.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11 — Conjunto de dados sintético  (1:10)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Justificar os dados sintéticos.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Como não tínhamos dados reais nem autorização ética para coletá-los, o experimento usa 5.000 registros sintéticos, gerados de forma reproduzível com uma semente fixa e cerca de 25% de desfecho positivo. O gerador é probabilístico, com dependências controladas entre os determinantes e o desfecho. Nenhum dado pessoal real foi usado.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Sobre esses dados, treinamos os modelos.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Sintético, reproduzível, ~25% positivo; nenhum dado real.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Antecipar 'por que dados sintéticos?' — é a pergunta mais provável.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12 — Random Forest  (0:50)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Apresentar o modelo supervisionado.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O Random Forest é um modelo supervisionado que estima a propensão — um conjunto de árvores de decisão. Ele foi comparado com a regressão logística, nossa linha de base, e com o XGBoost, e foi selecionado pela maior PR-AUC média na validação cruzada.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Em paralelo, aplicamos uma análise exploratória com SOM.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RF é o modelo que gera a estimativa.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13 — SOM (papel exploratório)  (0:50)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Explicar o mapa auto-organizável.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O Self-Organizing Map é uma rede que agrupa registros com perfis de determinantes semelhantes. É uma análise exploratória, complementar ao modelo supervisionado — ela não alimenta o Random Forest.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O fluxo experimental integra essas etapas.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SOM é exploratório e complementar; não entra na estimativa.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Clarificar que SOM ≠ Random Forest; papéis distintos.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14 — Fluxo experimental  (0:40)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Mostrar o desenho experimental.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Dividimos os dados em 80% treino e 20% teste, de forma estratificada. Usamos validação cruzada com cinco dobras congeladas, e todo o pré-processamento foi aprendido apenas no treino, para evitar vazamento. O conjunto de teste foi usado uma única vez, sem participar de decisões.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Os resultados do Random Forest vêm a seguir.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Sem vazamento; teste usado uma única vez.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'Vazamento de dados' pode gerar pergunta — explique brevemente.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15 — Resultados RF — comparação  (0:50)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Mostrar a seleção do modelo.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Na validação cruzada, o Random Forest alcançou PR-AUC média de 0,3508, contra 0,3370 da regressão logística e 0,3346 do XGBoost. Por isso o Random Forest foi o modelo selecionado.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Avaliamos, então, no conjunto de teste separado.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RF 0,3508 &gt; LR 0,3370 &gt; XGBoost 0,3346 (PR-AUC média).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16 — Resultados RF — hold-out  (1:10)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Ser transparente sobre o desempenho no teste.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No conjunto de teste separado, o modelo apresentou ROC-AUC de aproximadamente 0,62, PR-AUC de aproximadamente 0,34 e Brier de aproximadamente 0,18. No limiar de referência 0,5, o recall para a classe positiva foi zero. Por isso o aplicativo devolve apenas a probabilidade — não classe e não 'risco'.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O SOM traz uma leitura complementar.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Desempenho limitado; o app não rotula 'risco'.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'Recall zero no limiar 0,5' — reconhecer a limitação sem minimizar.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17 — Resultados SOM  (0:50)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Mostrar o achado exploratório do SOM.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O SOM identificou dois grupos com perfis sociais distintos — sobretudo em trabalho e renda, educação e acesso a serviços — mas com proporção de desfecho semelhante entre eles. Ou seja, o agrupamento descreve perfil social; ele não prevê o desfecho.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Essas análises estão integradas ao aplicativo.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Dois perfis sociais distintos, desfecho semelhante.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Não superinterpretar: agrupamento descreve perfil, não prevê.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18 — Funcionamento do aplicativo  (0:50)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Mostrar o acompanhamento no app.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Além do questionário, o aplicativo apoia o acompanhamento: gestação, consultas, exames, vacinas, medicamentos, plano de parto e histórico de avaliações. Tudo persistido no servidor.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Como essas partes conversam entre si?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O app não é só questionário: é acompanhamento completo.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19 — Integração app↔API↔modelo  (0:50)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Mostrar a integração de ponta a ponta.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O fluxo é direto: o aplicativo envia o questionário à API, a API aciona o modelo, e o modelo devolve a probabilidade, que o aplicativo apresenta. O acompanhamento fica no servidor, com autenticação e com cada usuária acessando apenas os próprios dados.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Vamos ver isso funcionando.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Fluxo: questionário → API → modelo → probabilidade.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Evitar endpoints, logs e nomes internos.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20 — Demonstração prática  (5:00)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Demonstrar o aplicativo em funcionamento.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[INÍCIO DA DEMONSTRAÇÃO] Vou usar uma conta fictícia. Começo pela tela inicial e o login; depois o acompanhamento da gestação; respondo o questionário DSS nas seis dimensões; submeto e vejo a estimativa experimental; o aplicativo mostra o aviso em linguagem simples de que aquilo não é um diagnóstico; e navego por consultas, exames, vacinas, medicamentos, plano de parto e o histórico de avaliações. [FIM DA DEMONSTRAÇÃO]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Encerro com as limitações e a ética.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Dados 100% fictícios; seguir o Plano_Demonstracao_App.docx.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Deixar visível o aviso de 'não diagnóstico' na tela.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21 — Limitações e ética  (1:10)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Ser transparente sobre os limites.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Sou transparente sobre os limites: os dados são sintéticos, sem validade externa ou clínica; a estimativa é estatística, não um diagnóstico; o desempenho discriminativo é limitado; e associação estatística não é causalidade. Um uso real futuro exigiria consentimento e conformidade com a LGPD.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A contribuição do trabalho é metodológica e de integração.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Sem validade clínica; associação não é causalidade.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Evitar qualquer exagero científico aqui.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22 — Contribuições e trabalhos futuros  (0:50)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Encerrar com contribuições e próximos passos.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As contribuições são um pipeline experimental reproduzível e documentado, e a integração de engenharia — questionário, modelo e acompanhamento em um único aplicativo. Como trabalho futuro, a validação com dados reais, com a operacionalização longitudinal do desfecho, sob requisitos éticos e de consentimento.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Concluindo.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Contribuição = pipeline + integração; futuro = dados reais.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23 — Conclusão  (0:30)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Concluir com humildade científica.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Concluo dizendo que o trabalho consolidou uma base metodológica e tecnológica experimental. O valor está na consolidação do pipeline e na integração de software. Os resultados são experimentais e não validam o modelo clinicamente: o problema não foi resolvido, mas a base foi criada.</w:t>
      </w:r>
    </w:p>
    <w:p>
      <w:r>
        <w:rPr>
          <w:b/>
          <w:color w:val="00314B"/>
        </w:rPr>
        <w:t>Transição</w:t>
      </w:r>
    </w:p>
    <w:p>
      <w:pPr>
        <w:spacing w:after="80"/>
      </w:pPr>
      <w:r>
        <w:t>Fico à disposição para as perguntas da banca.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Base criada; problema não resolvido.</w:t>
      </w:r>
    </w:p>
    <w:p>
      <w:r>
        <w:rPr>
          <w:b/>
          <w:color w:val="00314B"/>
        </w:rPr>
        <w:t>Alerta</w:t>
      </w:r>
    </w:p>
    <w:p>
      <w:pPr>
        <w:spacing w:after="80"/>
      </w:pPr>
      <w:r>
        <w:t>Humildade científica; não prometer validade clínica.</w:t>
      </w:r>
    </w:p>
    <w:p/>
    <w:p>
      <w:pPr>
        <w:pStyle w:val="Heading2"/>
      </w:pPr>
      <w:r>
        <w:rPr>
          <w:rFonts w:ascii="Arial" w:hAnsi="Arial"/>
          <w:color w:val="00314B"/>
          <w:sz w:val="26"/>
        </w:rPr>
        <w:t>Slide 24 — Encerramento  (0:10)</w:t>
      </w:r>
    </w:p>
    <w:p>
      <w:r>
        <w:rPr>
          <w:b/>
          <w:color w:val="00314B"/>
        </w:rPr>
        <w:t>Objetivo</w:t>
      </w:r>
    </w:p>
    <w:p>
      <w:pPr>
        <w:spacing w:after="80"/>
      </w:pPr>
      <w:r>
        <w:t>Agradecer e abrir para perguntas.</w:t>
      </w:r>
    </w:p>
    <w:p>
      <w:r>
        <w:rPr>
          <w:b/>
          <w:color w:val="00314B"/>
        </w:rPr>
        <w:t>Fala sugerida</w:t>
      </w:r>
    </w:p>
    <w:p>
      <w:pPr>
        <w:spacing w:after="80"/>
      </w:pPr>
      <w:r>
        <w:t>Obrigado pela atenção. Fico à disposição para as perguntas da banca.</w:t>
      </w:r>
    </w:p>
    <w:p>
      <w:r>
        <w:rPr>
          <w:b/>
          <w:color w:val="00314B"/>
        </w:rPr>
        <w:t>Ênfase</w:t>
      </w:r>
    </w:p>
    <w:p>
      <w:pPr>
        <w:spacing w:after="80"/>
      </w:pPr>
      <w:r>
        <w:t>—</w:t>
      </w:r>
    </w:p>
    <w:p/>
    <w:p>
      <w:pPr>
        <w:pStyle w:val="Heading1"/>
      </w:pPr>
      <w:r>
        <w:rPr>
          <w:rFonts w:ascii="Arial" w:hAnsi="Arial"/>
          <w:color w:val="00314B"/>
          <w:sz w:val="32"/>
        </w:rPr>
        <w:t>Variações de tempo (20 e 30 minutos)</w:t>
      </w:r>
    </w:p>
    <w:p>
      <w:r>
        <w:rPr>
          <w:b/>
          <w:color w:val="00314B"/>
        </w:rPr>
        <w:t>Para 20 minutos (compressão)</w:t>
      </w:r>
    </w:p>
    <w:p>
      <w:pPr>
        <w:spacing w:after="80"/>
      </w:pPr>
      <w:r>
        <w:t>• Demonstração ao vivo reduzida para ~2–3 min (usar o vídeo de apoio, Plano B, se necessário).</w:t>
        <w:br/>
        <w:t>• Slide 10 (IV-DSS) e 11 (sintéticos) para ~40 s cada.</w:t>
        <w:br/>
        <w:t>• Slide 16 (hold-out) para ~50 s.</w:t>
        <w:br/>
        <w:t>• Unir slides 3–5 em uma fala mais rápida de contexto/problema/justificativa.</w:t>
      </w:r>
    </w:p>
    <w:p>
      <w:r>
        <w:rPr>
          <w:b/>
          <w:color w:val="00314B"/>
        </w:rPr>
        <w:t>Para 30 minutos (aprofundamento)</w:t>
      </w:r>
    </w:p>
    <w:p>
      <w:pPr>
        <w:spacing w:after="80"/>
      </w:pPr>
      <w:r>
        <w:t>• Detalhar o IV-DSS (slide 10) com a estrutura em três níveis de agregação.</w:t>
        <w:br/>
        <w:t>• Explicar o gerador de dados sintéticos (slide 11) com os fatores latentes e a relação sigmoide.</w:t>
        <w:br/>
        <w:t>• Mostrar os slides de apoio (A1–A6) após o encerramento, se a banca pedir.</w:t>
        <w:br/>
        <w:t>• Discutir limitações e o caminho de validação (slide 21 + apoio A5).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