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78C40" w14:textId="77777777" w:rsidR="00D9754D" w:rsidRDefault="00CE2957">
      <w:pPr>
        <w:pStyle w:val="Ttulo"/>
      </w:pPr>
      <w:r>
        <w:t>Boletín Laboral CEPR</w:t>
      </w:r>
    </w:p>
    <w:p w14:paraId="1E7C36FD" w14:textId="77777777" w:rsidR="00D9754D" w:rsidRDefault="00CE2957">
      <w:pPr>
        <w:pStyle w:val="Author"/>
      </w:pPr>
      <w:r>
        <w:t>Región Metropolitana MJJ-2020</w:t>
      </w:r>
    </w:p>
    <w:p w14:paraId="1E56432E" w14:textId="1A2C3DBC" w:rsidR="00D9754D" w:rsidRDefault="008E4E3E">
      <w:pPr>
        <w:pStyle w:val="Fecha"/>
      </w:pPr>
      <w:r>
        <w:t>31</w:t>
      </w:r>
      <w:r w:rsidR="00CE2957">
        <w:t>/08/2020</w:t>
      </w:r>
    </w:p>
    <w:p w14:paraId="6E5C092F" w14:textId="77777777" w:rsidR="00D9754D" w:rsidRDefault="00CE2957">
      <w:pPr>
        <w:pStyle w:val="Ttulo2"/>
      </w:pPr>
      <w:bookmarkStart w:id="0" w:name="panorama-general"/>
      <w:r>
        <w:t>Panorama General</w:t>
      </w:r>
      <w:bookmarkEnd w:id="0"/>
    </w:p>
    <w:tbl>
      <w:tblPr>
        <w:tblpPr w:leftFromText="141" w:rightFromText="141" w:vertAnchor="text" w:horzAnchor="margin" w:tblpXSpec="right" w:tblpY="8"/>
        <w:tblW w:w="4320" w:type="dxa"/>
        <w:tblLayout w:type="fixed"/>
        <w:tblLook w:val="0420" w:firstRow="1" w:lastRow="0" w:firstColumn="0" w:lastColumn="0" w:noHBand="0" w:noVBand="1"/>
      </w:tblPr>
      <w:tblGrid>
        <w:gridCol w:w="2160"/>
        <w:gridCol w:w="1080"/>
        <w:gridCol w:w="1080"/>
      </w:tblGrid>
      <w:tr w:rsidR="00870BBA" w14:paraId="5BDC595E" w14:textId="77777777" w:rsidTr="00870BBA">
        <w:trPr>
          <w:cantSplit/>
          <w:tblHeader/>
        </w:trPr>
        <w:tc>
          <w:tcPr>
            <w:tcW w:w="2160" w:type="dxa"/>
            <w:shd w:val="clear" w:color="auto" w:fill="00A297"/>
            <w:tcMar>
              <w:top w:w="0" w:type="dxa"/>
              <w:left w:w="0" w:type="dxa"/>
              <w:bottom w:w="0" w:type="dxa"/>
              <w:right w:w="0" w:type="dxa"/>
            </w:tcMar>
            <w:vAlign w:val="center"/>
          </w:tcPr>
          <w:p w14:paraId="2BF5DB17" w14:textId="77777777" w:rsidR="00870BBA" w:rsidRDefault="00870BBA" w:rsidP="00870BBA">
            <w:pPr>
              <w:spacing w:before="40" w:after="40"/>
              <w:ind w:left="100" w:right="100"/>
              <w:jc w:val="center"/>
            </w:pPr>
            <w:r>
              <w:rPr>
                <w:rFonts w:ascii="Arial" w:eastAsia="Arial" w:hAnsi="Arial" w:cs="Arial"/>
                <w:b/>
                <w:color w:val="FFFFFF"/>
                <w:sz w:val="14"/>
                <w:szCs w:val="14"/>
              </w:rPr>
              <w:t>CIFRAS CLAVE</w:t>
            </w:r>
          </w:p>
        </w:tc>
        <w:tc>
          <w:tcPr>
            <w:tcW w:w="1080" w:type="dxa"/>
            <w:shd w:val="clear" w:color="auto" w:fill="00A297"/>
            <w:tcMar>
              <w:top w:w="0" w:type="dxa"/>
              <w:left w:w="0" w:type="dxa"/>
              <w:bottom w:w="0" w:type="dxa"/>
              <w:right w:w="0" w:type="dxa"/>
            </w:tcMar>
            <w:vAlign w:val="center"/>
          </w:tcPr>
          <w:p w14:paraId="11E2BFA0" w14:textId="77777777" w:rsidR="00870BBA" w:rsidRDefault="00870BBA" w:rsidP="00870BBA">
            <w:pPr>
              <w:spacing w:before="40" w:after="40"/>
              <w:ind w:left="100" w:right="100"/>
              <w:jc w:val="center"/>
            </w:pPr>
            <w:r>
              <w:rPr>
                <w:rFonts w:ascii="Arial" w:eastAsia="Arial" w:hAnsi="Arial" w:cs="Arial"/>
                <w:b/>
                <w:color w:val="FFFFFF"/>
                <w:sz w:val="14"/>
                <w:szCs w:val="14"/>
              </w:rPr>
              <w:t>MJJ-2019</w:t>
            </w:r>
          </w:p>
        </w:tc>
        <w:tc>
          <w:tcPr>
            <w:tcW w:w="1080" w:type="dxa"/>
            <w:shd w:val="clear" w:color="auto" w:fill="00A297"/>
            <w:tcMar>
              <w:top w:w="0" w:type="dxa"/>
              <w:left w:w="0" w:type="dxa"/>
              <w:bottom w:w="0" w:type="dxa"/>
              <w:right w:w="0" w:type="dxa"/>
            </w:tcMar>
            <w:vAlign w:val="center"/>
          </w:tcPr>
          <w:p w14:paraId="42DE0E6E" w14:textId="77777777" w:rsidR="00870BBA" w:rsidRDefault="00870BBA" w:rsidP="00870BBA">
            <w:pPr>
              <w:spacing w:before="40" w:after="40"/>
              <w:ind w:left="100" w:right="100"/>
              <w:jc w:val="center"/>
            </w:pPr>
            <w:r>
              <w:rPr>
                <w:rFonts w:ascii="Arial" w:eastAsia="Arial" w:hAnsi="Arial" w:cs="Arial"/>
                <w:b/>
                <w:color w:val="FFFFFF"/>
                <w:sz w:val="14"/>
                <w:szCs w:val="14"/>
              </w:rPr>
              <w:t>MJJ-2020</w:t>
            </w:r>
          </w:p>
        </w:tc>
      </w:tr>
      <w:tr w:rsidR="00870BBA" w14:paraId="0838D74B" w14:textId="77777777" w:rsidTr="00870BBA">
        <w:trPr>
          <w:cantSplit/>
        </w:trPr>
        <w:tc>
          <w:tcPr>
            <w:tcW w:w="2160" w:type="dxa"/>
            <w:tcBorders>
              <w:right w:val="single" w:sz="8" w:space="0" w:color="D9D9D9"/>
            </w:tcBorders>
            <w:shd w:val="clear" w:color="auto" w:fill="FFFFFF"/>
            <w:tcMar>
              <w:top w:w="0" w:type="dxa"/>
              <w:left w:w="0" w:type="dxa"/>
              <w:bottom w:w="0" w:type="dxa"/>
              <w:right w:w="0" w:type="dxa"/>
            </w:tcMar>
            <w:vAlign w:val="center"/>
          </w:tcPr>
          <w:p w14:paraId="2F5D48F6" w14:textId="77777777" w:rsidR="00870BBA" w:rsidRDefault="00870BBA" w:rsidP="00870BBA">
            <w:pPr>
              <w:spacing w:before="40" w:after="40"/>
              <w:ind w:left="100" w:right="100"/>
            </w:pPr>
            <w:r>
              <w:rPr>
                <w:rFonts w:ascii="Arial" w:eastAsia="Arial" w:hAnsi="Arial" w:cs="Arial"/>
                <w:b/>
                <w:color w:val="111111"/>
                <w:sz w:val="14"/>
                <w:szCs w:val="14"/>
              </w:rPr>
              <w:t>OCUPADOS</w:t>
            </w:r>
          </w:p>
        </w:tc>
        <w:tc>
          <w:tcPr>
            <w:tcW w:w="1080" w:type="dxa"/>
            <w:tcBorders>
              <w:left w:val="single" w:sz="8" w:space="0" w:color="D9D9D9"/>
            </w:tcBorders>
            <w:shd w:val="clear" w:color="auto" w:fill="FFFFFF"/>
            <w:tcMar>
              <w:top w:w="0" w:type="dxa"/>
              <w:left w:w="0" w:type="dxa"/>
              <w:bottom w:w="0" w:type="dxa"/>
              <w:right w:w="0" w:type="dxa"/>
            </w:tcMar>
            <w:vAlign w:val="center"/>
          </w:tcPr>
          <w:p w14:paraId="28C4C8BB" w14:textId="77777777" w:rsidR="00870BBA" w:rsidRDefault="00870BBA" w:rsidP="00870BBA">
            <w:pPr>
              <w:spacing w:before="40" w:after="40"/>
              <w:ind w:left="100" w:right="100"/>
              <w:jc w:val="right"/>
            </w:pPr>
            <w:r>
              <w:rPr>
                <w:rFonts w:ascii="Arial" w:eastAsia="Arial" w:hAnsi="Arial" w:cs="Arial"/>
                <w:color w:val="111111"/>
                <w:sz w:val="14"/>
                <w:szCs w:val="14"/>
              </w:rPr>
              <w:t>3,882,353</w:t>
            </w:r>
          </w:p>
        </w:tc>
        <w:tc>
          <w:tcPr>
            <w:tcW w:w="1080" w:type="dxa"/>
            <w:shd w:val="clear" w:color="auto" w:fill="FFFFFF"/>
            <w:tcMar>
              <w:top w:w="0" w:type="dxa"/>
              <w:left w:w="0" w:type="dxa"/>
              <w:bottom w:w="0" w:type="dxa"/>
              <w:right w:w="0" w:type="dxa"/>
            </w:tcMar>
            <w:vAlign w:val="center"/>
          </w:tcPr>
          <w:p w14:paraId="20556CBA" w14:textId="77777777" w:rsidR="00870BBA" w:rsidRDefault="00870BBA" w:rsidP="00870BBA">
            <w:pPr>
              <w:spacing w:before="40" w:after="40"/>
              <w:ind w:left="100" w:right="100"/>
              <w:jc w:val="right"/>
            </w:pPr>
            <w:r>
              <w:rPr>
                <w:rFonts w:ascii="Arial" w:eastAsia="Arial" w:hAnsi="Arial" w:cs="Arial"/>
                <w:color w:val="111111"/>
                <w:sz w:val="14"/>
                <w:szCs w:val="14"/>
              </w:rPr>
              <w:t>3,109,009</w:t>
            </w:r>
          </w:p>
        </w:tc>
      </w:tr>
      <w:tr w:rsidR="00870BBA" w14:paraId="129FB616" w14:textId="77777777" w:rsidTr="00870BBA">
        <w:trPr>
          <w:cantSplit/>
        </w:trPr>
        <w:tc>
          <w:tcPr>
            <w:tcW w:w="2160" w:type="dxa"/>
            <w:tcBorders>
              <w:right w:val="single" w:sz="8" w:space="0" w:color="D9D9D9"/>
            </w:tcBorders>
            <w:shd w:val="clear" w:color="auto" w:fill="F2F2F2"/>
            <w:tcMar>
              <w:top w:w="0" w:type="dxa"/>
              <w:left w:w="0" w:type="dxa"/>
              <w:bottom w:w="0" w:type="dxa"/>
              <w:right w:w="0" w:type="dxa"/>
            </w:tcMar>
            <w:vAlign w:val="center"/>
          </w:tcPr>
          <w:p w14:paraId="07A802CF" w14:textId="77777777" w:rsidR="00870BBA" w:rsidRDefault="00870BBA" w:rsidP="00870BBA">
            <w:pPr>
              <w:spacing w:before="40" w:after="40"/>
              <w:ind w:left="100" w:right="100"/>
            </w:pPr>
            <w:r>
              <w:rPr>
                <w:rFonts w:ascii="Arial" w:eastAsia="Arial" w:hAnsi="Arial" w:cs="Arial"/>
                <w:b/>
                <w:color w:val="111111"/>
                <w:sz w:val="14"/>
                <w:szCs w:val="14"/>
              </w:rPr>
              <w:t>DESOCUPADOS</w:t>
            </w:r>
          </w:p>
        </w:tc>
        <w:tc>
          <w:tcPr>
            <w:tcW w:w="1080" w:type="dxa"/>
            <w:tcBorders>
              <w:left w:val="single" w:sz="8" w:space="0" w:color="D9D9D9"/>
            </w:tcBorders>
            <w:shd w:val="clear" w:color="auto" w:fill="F2F2F2"/>
            <w:tcMar>
              <w:top w:w="0" w:type="dxa"/>
              <w:left w:w="0" w:type="dxa"/>
              <w:bottom w:w="0" w:type="dxa"/>
              <w:right w:w="0" w:type="dxa"/>
            </w:tcMar>
            <w:vAlign w:val="center"/>
          </w:tcPr>
          <w:p w14:paraId="53807945" w14:textId="77777777" w:rsidR="00870BBA" w:rsidRDefault="00870BBA" w:rsidP="00870BBA">
            <w:pPr>
              <w:spacing w:before="40" w:after="40"/>
              <w:ind w:left="100" w:right="100"/>
              <w:jc w:val="right"/>
            </w:pPr>
            <w:r>
              <w:rPr>
                <w:rFonts w:ascii="Arial" w:eastAsia="Arial" w:hAnsi="Arial" w:cs="Arial"/>
                <w:color w:val="111111"/>
                <w:sz w:val="14"/>
                <w:szCs w:val="14"/>
              </w:rPr>
              <w:t>333,817</w:t>
            </w:r>
          </w:p>
        </w:tc>
        <w:tc>
          <w:tcPr>
            <w:tcW w:w="1080" w:type="dxa"/>
            <w:shd w:val="clear" w:color="auto" w:fill="F2F2F2"/>
            <w:tcMar>
              <w:top w:w="0" w:type="dxa"/>
              <w:left w:w="0" w:type="dxa"/>
              <w:bottom w:w="0" w:type="dxa"/>
              <w:right w:w="0" w:type="dxa"/>
            </w:tcMar>
            <w:vAlign w:val="center"/>
          </w:tcPr>
          <w:p w14:paraId="02B91D25" w14:textId="77777777" w:rsidR="00870BBA" w:rsidRDefault="00870BBA" w:rsidP="00870BBA">
            <w:pPr>
              <w:spacing w:before="40" w:after="40"/>
              <w:ind w:left="100" w:right="100"/>
              <w:jc w:val="right"/>
            </w:pPr>
            <w:r>
              <w:rPr>
                <w:rFonts w:ascii="Arial" w:eastAsia="Arial" w:hAnsi="Arial" w:cs="Arial"/>
                <w:color w:val="111111"/>
                <w:sz w:val="14"/>
                <w:szCs w:val="14"/>
              </w:rPr>
              <w:t>486,077</w:t>
            </w:r>
          </w:p>
        </w:tc>
      </w:tr>
      <w:tr w:rsidR="00870BBA" w14:paraId="2DFED52B" w14:textId="77777777" w:rsidTr="00870BBA">
        <w:trPr>
          <w:cantSplit/>
        </w:trPr>
        <w:tc>
          <w:tcPr>
            <w:tcW w:w="2160" w:type="dxa"/>
            <w:tcBorders>
              <w:right w:val="single" w:sz="8" w:space="0" w:color="D9D9D9"/>
            </w:tcBorders>
            <w:shd w:val="clear" w:color="auto" w:fill="FFFFFF"/>
            <w:tcMar>
              <w:top w:w="0" w:type="dxa"/>
              <w:left w:w="0" w:type="dxa"/>
              <w:bottom w:w="0" w:type="dxa"/>
              <w:right w:w="0" w:type="dxa"/>
            </w:tcMar>
            <w:vAlign w:val="center"/>
          </w:tcPr>
          <w:p w14:paraId="141932D4" w14:textId="77777777" w:rsidR="00870BBA" w:rsidRDefault="00870BBA" w:rsidP="00870BBA">
            <w:pPr>
              <w:spacing w:before="40" w:after="40"/>
              <w:ind w:left="100" w:right="100"/>
            </w:pPr>
            <w:r>
              <w:rPr>
                <w:rFonts w:ascii="Arial" w:eastAsia="Arial" w:hAnsi="Arial" w:cs="Arial"/>
                <w:b/>
                <w:color w:val="111111"/>
                <w:sz w:val="14"/>
                <w:szCs w:val="14"/>
              </w:rPr>
              <w:t>INACTIVOS</w:t>
            </w:r>
          </w:p>
        </w:tc>
        <w:tc>
          <w:tcPr>
            <w:tcW w:w="1080" w:type="dxa"/>
            <w:tcBorders>
              <w:left w:val="single" w:sz="8" w:space="0" w:color="D9D9D9"/>
            </w:tcBorders>
            <w:shd w:val="clear" w:color="auto" w:fill="FFFFFF"/>
            <w:tcMar>
              <w:top w:w="0" w:type="dxa"/>
              <w:left w:w="0" w:type="dxa"/>
              <w:bottom w:w="0" w:type="dxa"/>
              <w:right w:w="0" w:type="dxa"/>
            </w:tcMar>
            <w:vAlign w:val="center"/>
          </w:tcPr>
          <w:p w14:paraId="25BFA86A" w14:textId="77777777" w:rsidR="00870BBA" w:rsidRDefault="00870BBA" w:rsidP="00870BBA">
            <w:pPr>
              <w:spacing w:before="40" w:after="40"/>
              <w:ind w:left="100" w:right="100"/>
              <w:jc w:val="right"/>
            </w:pPr>
            <w:r>
              <w:rPr>
                <w:rFonts w:ascii="Arial" w:eastAsia="Arial" w:hAnsi="Arial" w:cs="Arial"/>
                <w:color w:val="111111"/>
                <w:sz w:val="14"/>
                <w:szCs w:val="14"/>
              </w:rPr>
              <w:t>2,201,628</w:t>
            </w:r>
          </w:p>
        </w:tc>
        <w:tc>
          <w:tcPr>
            <w:tcW w:w="1080" w:type="dxa"/>
            <w:shd w:val="clear" w:color="auto" w:fill="FFFFFF"/>
            <w:tcMar>
              <w:top w:w="0" w:type="dxa"/>
              <w:left w:w="0" w:type="dxa"/>
              <w:bottom w:w="0" w:type="dxa"/>
              <w:right w:w="0" w:type="dxa"/>
            </w:tcMar>
            <w:vAlign w:val="center"/>
          </w:tcPr>
          <w:p w14:paraId="44ACA33B" w14:textId="77777777" w:rsidR="00870BBA" w:rsidRDefault="00870BBA" w:rsidP="00870BBA">
            <w:pPr>
              <w:spacing w:before="40" w:after="40"/>
              <w:ind w:left="100" w:right="100"/>
              <w:jc w:val="right"/>
            </w:pPr>
            <w:r>
              <w:rPr>
                <w:rFonts w:ascii="Arial" w:eastAsia="Arial" w:hAnsi="Arial" w:cs="Arial"/>
                <w:color w:val="111111"/>
                <w:sz w:val="14"/>
                <w:szCs w:val="14"/>
              </w:rPr>
              <w:t>3,010,030</w:t>
            </w:r>
          </w:p>
        </w:tc>
      </w:tr>
      <w:tr w:rsidR="00870BBA" w14:paraId="5E6D92D3" w14:textId="77777777" w:rsidTr="00870BBA">
        <w:trPr>
          <w:cantSplit/>
        </w:trPr>
        <w:tc>
          <w:tcPr>
            <w:tcW w:w="2160" w:type="dxa"/>
            <w:tcBorders>
              <w:right w:val="single" w:sz="8" w:space="0" w:color="D9D9D9"/>
            </w:tcBorders>
            <w:shd w:val="clear" w:color="auto" w:fill="F2F2F2"/>
            <w:tcMar>
              <w:top w:w="0" w:type="dxa"/>
              <w:left w:w="0" w:type="dxa"/>
              <w:bottom w:w="0" w:type="dxa"/>
              <w:right w:w="0" w:type="dxa"/>
            </w:tcMar>
            <w:vAlign w:val="center"/>
          </w:tcPr>
          <w:p w14:paraId="24449815" w14:textId="77777777" w:rsidR="00870BBA" w:rsidRDefault="00870BBA" w:rsidP="00870BBA">
            <w:pPr>
              <w:spacing w:before="40" w:after="40"/>
              <w:ind w:left="100" w:right="100"/>
            </w:pPr>
            <w:r>
              <w:rPr>
                <w:rFonts w:ascii="Arial" w:eastAsia="Arial" w:hAnsi="Arial" w:cs="Arial"/>
                <w:b/>
                <w:color w:val="111111"/>
                <w:sz w:val="14"/>
                <w:szCs w:val="14"/>
              </w:rPr>
              <w:t>TASA DE DESOCUPACIÓN</w:t>
            </w:r>
          </w:p>
        </w:tc>
        <w:tc>
          <w:tcPr>
            <w:tcW w:w="1080" w:type="dxa"/>
            <w:tcBorders>
              <w:left w:val="single" w:sz="8" w:space="0" w:color="D9D9D9"/>
            </w:tcBorders>
            <w:shd w:val="clear" w:color="auto" w:fill="F2F2F2"/>
            <w:tcMar>
              <w:top w:w="0" w:type="dxa"/>
              <w:left w:w="0" w:type="dxa"/>
              <w:bottom w:w="0" w:type="dxa"/>
              <w:right w:w="0" w:type="dxa"/>
            </w:tcMar>
            <w:vAlign w:val="center"/>
          </w:tcPr>
          <w:p w14:paraId="768B1FB6" w14:textId="77777777" w:rsidR="00870BBA" w:rsidRDefault="00870BBA" w:rsidP="00870BBA">
            <w:pPr>
              <w:spacing w:before="40" w:after="40"/>
              <w:ind w:left="100" w:right="100"/>
              <w:jc w:val="right"/>
            </w:pPr>
            <w:r>
              <w:rPr>
                <w:rFonts w:ascii="Arial" w:eastAsia="Arial" w:hAnsi="Arial" w:cs="Arial"/>
                <w:color w:val="111111"/>
                <w:sz w:val="14"/>
                <w:szCs w:val="14"/>
              </w:rPr>
              <w:t>7.9%</w:t>
            </w:r>
          </w:p>
        </w:tc>
        <w:tc>
          <w:tcPr>
            <w:tcW w:w="1080" w:type="dxa"/>
            <w:shd w:val="clear" w:color="auto" w:fill="F2F2F2"/>
            <w:tcMar>
              <w:top w:w="0" w:type="dxa"/>
              <w:left w:w="0" w:type="dxa"/>
              <w:bottom w:w="0" w:type="dxa"/>
              <w:right w:w="0" w:type="dxa"/>
            </w:tcMar>
            <w:vAlign w:val="center"/>
          </w:tcPr>
          <w:p w14:paraId="524C9143" w14:textId="77777777" w:rsidR="00870BBA" w:rsidRDefault="00870BBA" w:rsidP="00870BBA">
            <w:pPr>
              <w:spacing w:before="40" w:after="40"/>
              <w:ind w:left="100" w:right="100"/>
              <w:jc w:val="right"/>
            </w:pPr>
            <w:r>
              <w:rPr>
                <w:rFonts w:ascii="Arial" w:eastAsia="Arial" w:hAnsi="Arial" w:cs="Arial"/>
                <w:color w:val="111111"/>
                <w:sz w:val="14"/>
                <w:szCs w:val="14"/>
              </w:rPr>
              <w:t>13.5%</w:t>
            </w:r>
          </w:p>
        </w:tc>
      </w:tr>
      <w:tr w:rsidR="00870BBA" w14:paraId="6BC3D95E" w14:textId="77777777" w:rsidTr="00870BBA">
        <w:trPr>
          <w:cantSplit/>
        </w:trPr>
        <w:tc>
          <w:tcPr>
            <w:tcW w:w="2160" w:type="dxa"/>
            <w:tcBorders>
              <w:right w:val="single" w:sz="8" w:space="0" w:color="D9D9D9"/>
            </w:tcBorders>
            <w:shd w:val="clear" w:color="auto" w:fill="FFFFFF"/>
            <w:tcMar>
              <w:top w:w="0" w:type="dxa"/>
              <w:left w:w="0" w:type="dxa"/>
              <w:bottom w:w="0" w:type="dxa"/>
              <w:right w:w="0" w:type="dxa"/>
            </w:tcMar>
            <w:vAlign w:val="center"/>
          </w:tcPr>
          <w:p w14:paraId="2CA6A08A" w14:textId="77777777" w:rsidR="00870BBA" w:rsidRDefault="00870BBA" w:rsidP="00870BBA">
            <w:pPr>
              <w:spacing w:before="40" w:after="40"/>
              <w:ind w:left="100" w:right="100"/>
            </w:pPr>
            <w:r>
              <w:rPr>
                <w:rFonts w:ascii="Arial" w:eastAsia="Arial" w:hAnsi="Arial" w:cs="Arial"/>
                <w:b/>
                <w:color w:val="111111"/>
                <w:sz w:val="14"/>
                <w:szCs w:val="14"/>
              </w:rPr>
              <w:t>TASA DE OCUPACIÓN</w:t>
            </w:r>
          </w:p>
        </w:tc>
        <w:tc>
          <w:tcPr>
            <w:tcW w:w="1080" w:type="dxa"/>
            <w:tcBorders>
              <w:left w:val="single" w:sz="8" w:space="0" w:color="D9D9D9"/>
            </w:tcBorders>
            <w:shd w:val="clear" w:color="auto" w:fill="FFFFFF"/>
            <w:tcMar>
              <w:top w:w="0" w:type="dxa"/>
              <w:left w:w="0" w:type="dxa"/>
              <w:bottom w:w="0" w:type="dxa"/>
              <w:right w:w="0" w:type="dxa"/>
            </w:tcMar>
            <w:vAlign w:val="center"/>
          </w:tcPr>
          <w:p w14:paraId="0F699997" w14:textId="77777777" w:rsidR="00870BBA" w:rsidRDefault="00870BBA" w:rsidP="00870BBA">
            <w:pPr>
              <w:spacing w:before="40" w:after="40"/>
              <w:ind w:left="100" w:right="100"/>
              <w:jc w:val="right"/>
            </w:pPr>
            <w:r>
              <w:rPr>
                <w:rFonts w:ascii="Arial" w:eastAsia="Arial" w:hAnsi="Arial" w:cs="Arial"/>
                <w:color w:val="111111"/>
                <w:sz w:val="14"/>
                <w:szCs w:val="14"/>
              </w:rPr>
              <w:t>60.5%</w:t>
            </w:r>
          </w:p>
        </w:tc>
        <w:tc>
          <w:tcPr>
            <w:tcW w:w="1080" w:type="dxa"/>
            <w:shd w:val="clear" w:color="auto" w:fill="FFFFFF"/>
            <w:tcMar>
              <w:top w:w="0" w:type="dxa"/>
              <w:left w:w="0" w:type="dxa"/>
              <w:bottom w:w="0" w:type="dxa"/>
              <w:right w:w="0" w:type="dxa"/>
            </w:tcMar>
            <w:vAlign w:val="center"/>
          </w:tcPr>
          <w:p w14:paraId="6135E5F5" w14:textId="77777777" w:rsidR="00870BBA" w:rsidRDefault="00870BBA" w:rsidP="00870BBA">
            <w:pPr>
              <w:spacing w:before="40" w:after="40"/>
              <w:ind w:left="100" w:right="100"/>
              <w:jc w:val="right"/>
            </w:pPr>
            <w:r>
              <w:rPr>
                <w:rFonts w:ascii="Arial" w:eastAsia="Arial" w:hAnsi="Arial" w:cs="Arial"/>
                <w:color w:val="111111"/>
                <w:sz w:val="14"/>
                <w:szCs w:val="14"/>
              </w:rPr>
              <w:t>47.1%</w:t>
            </w:r>
          </w:p>
        </w:tc>
      </w:tr>
      <w:tr w:rsidR="00870BBA" w14:paraId="666BA1E7" w14:textId="77777777" w:rsidTr="00870BBA">
        <w:trPr>
          <w:cantSplit/>
        </w:trPr>
        <w:tc>
          <w:tcPr>
            <w:tcW w:w="2160" w:type="dxa"/>
            <w:tcBorders>
              <w:right w:val="single" w:sz="8" w:space="0" w:color="D9D9D9"/>
            </w:tcBorders>
            <w:shd w:val="clear" w:color="auto" w:fill="F2F2F2"/>
            <w:tcMar>
              <w:top w:w="0" w:type="dxa"/>
              <w:left w:w="0" w:type="dxa"/>
              <w:bottom w:w="0" w:type="dxa"/>
              <w:right w:w="0" w:type="dxa"/>
            </w:tcMar>
            <w:vAlign w:val="center"/>
          </w:tcPr>
          <w:p w14:paraId="5376E488" w14:textId="77777777" w:rsidR="00870BBA" w:rsidRPr="00870BBA" w:rsidRDefault="00870BBA" w:rsidP="00870BBA">
            <w:pPr>
              <w:spacing w:before="40" w:after="40"/>
              <w:ind w:left="100" w:right="100"/>
              <w:rPr>
                <w:lang w:val="es-CL"/>
              </w:rPr>
            </w:pPr>
            <w:r w:rsidRPr="00870BBA">
              <w:rPr>
                <w:rFonts w:ascii="Arial" w:eastAsia="Arial" w:hAnsi="Arial" w:cs="Arial"/>
                <w:b/>
                <w:color w:val="111111"/>
                <w:sz w:val="14"/>
                <w:szCs w:val="14"/>
                <w:lang w:val="es-CL"/>
              </w:rPr>
              <w:t>TASA DE DESOCUPACION COMBINADA (SU3)</w:t>
            </w:r>
          </w:p>
        </w:tc>
        <w:tc>
          <w:tcPr>
            <w:tcW w:w="1080" w:type="dxa"/>
            <w:tcBorders>
              <w:left w:val="single" w:sz="8" w:space="0" w:color="D9D9D9"/>
            </w:tcBorders>
            <w:shd w:val="clear" w:color="auto" w:fill="F2F2F2"/>
            <w:tcMar>
              <w:top w:w="0" w:type="dxa"/>
              <w:left w:w="0" w:type="dxa"/>
              <w:bottom w:w="0" w:type="dxa"/>
              <w:right w:w="0" w:type="dxa"/>
            </w:tcMar>
            <w:vAlign w:val="center"/>
          </w:tcPr>
          <w:p w14:paraId="132A1924" w14:textId="77777777" w:rsidR="00870BBA" w:rsidRDefault="00870BBA" w:rsidP="00870BBA">
            <w:pPr>
              <w:spacing w:before="40" w:after="40"/>
              <w:ind w:left="100" w:right="100"/>
              <w:jc w:val="right"/>
            </w:pPr>
            <w:r>
              <w:rPr>
                <w:rFonts w:ascii="Arial" w:eastAsia="Arial" w:hAnsi="Arial" w:cs="Arial"/>
                <w:color w:val="111111"/>
                <w:sz w:val="14"/>
                <w:szCs w:val="14"/>
              </w:rPr>
              <w:t>11.6%</w:t>
            </w:r>
          </w:p>
        </w:tc>
        <w:tc>
          <w:tcPr>
            <w:tcW w:w="1080" w:type="dxa"/>
            <w:shd w:val="clear" w:color="auto" w:fill="F2F2F2"/>
            <w:tcMar>
              <w:top w:w="0" w:type="dxa"/>
              <w:left w:w="0" w:type="dxa"/>
              <w:bottom w:w="0" w:type="dxa"/>
              <w:right w:w="0" w:type="dxa"/>
            </w:tcMar>
            <w:vAlign w:val="center"/>
          </w:tcPr>
          <w:p w14:paraId="5113247D" w14:textId="77777777" w:rsidR="00870BBA" w:rsidRDefault="00870BBA" w:rsidP="00870BBA">
            <w:pPr>
              <w:spacing w:before="40" w:after="40"/>
              <w:ind w:left="100" w:right="100"/>
              <w:jc w:val="right"/>
            </w:pPr>
            <w:r>
              <w:rPr>
                <w:rFonts w:ascii="Arial" w:eastAsia="Arial" w:hAnsi="Arial" w:cs="Arial"/>
                <w:color w:val="111111"/>
                <w:sz w:val="14"/>
                <w:szCs w:val="14"/>
              </w:rPr>
              <w:t>28.7%</w:t>
            </w:r>
          </w:p>
        </w:tc>
      </w:tr>
      <w:tr w:rsidR="00870BBA" w14:paraId="4DBFC9C9" w14:textId="77777777" w:rsidTr="00870BBA">
        <w:trPr>
          <w:cantSplit/>
        </w:trPr>
        <w:tc>
          <w:tcPr>
            <w:tcW w:w="2160" w:type="dxa"/>
            <w:tcBorders>
              <w:right w:val="single" w:sz="8" w:space="0" w:color="D9D9D9"/>
            </w:tcBorders>
            <w:shd w:val="clear" w:color="auto" w:fill="FFFFFF"/>
            <w:tcMar>
              <w:top w:w="0" w:type="dxa"/>
              <w:left w:w="0" w:type="dxa"/>
              <w:bottom w:w="0" w:type="dxa"/>
              <w:right w:w="0" w:type="dxa"/>
            </w:tcMar>
            <w:vAlign w:val="center"/>
          </w:tcPr>
          <w:p w14:paraId="4A2F1A98" w14:textId="77777777" w:rsidR="00870BBA" w:rsidRDefault="00870BBA" w:rsidP="00870BBA">
            <w:pPr>
              <w:spacing w:before="40" w:after="40"/>
              <w:ind w:left="100" w:right="100"/>
            </w:pPr>
            <w:r>
              <w:rPr>
                <w:rFonts w:ascii="Arial" w:eastAsia="Arial" w:hAnsi="Arial" w:cs="Arial"/>
                <w:b/>
                <w:color w:val="111111"/>
                <w:sz w:val="14"/>
                <w:szCs w:val="14"/>
              </w:rPr>
              <w:t>TASA DE PARTICIPACIÓN</w:t>
            </w:r>
          </w:p>
        </w:tc>
        <w:tc>
          <w:tcPr>
            <w:tcW w:w="1080" w:type="dxa"/>
            <w:tcBorders>
              <w:left w:val="single" w:sz="8" w:space="0" w:color="D9D9D9"/>
            </w:tcBorders>
            <w:shd w:val="clear" w:color="auto" w:fill="FFFFFF"/>
            <w:tcMar>
              <w:top w:w="0" w:type="dxa"/>
              <w:left w:w="0" w:type="dxa"/>
              <w:bottom w:w="0" w:type="dxa"/>
              <w:right w:w="0" w:type="dxa"/>
            </w:tcMar>
            <w:vAlign w:val="center"/>
          </w:tcPr>
          <w:p w14:paraId="0C1C26D8" w14:textId="77777777" w:rsidR="00870BBA" w:rsidRDefault="00870BBA" w:rsidP="00870BBA">
            <w:pPr>
              <w:spacing w:before="40" w:after="40"/>
              <w:ind w:left="100" w:right="100"/>
              <w:jc w:val="right"/>
            </w:pPr>
            <w:r>
              <w:rPr>
                <w:rFonts w:ascii="Arial" w:eastAsia="Arial" w:hAnsi="Arial" w:cs="Arial"/>
                <w:color w:val="111111"/>
                <w:sz w:val="14"/>
                <w:szCs w:val="14"/>
              </w:rPr>
              <w:t>65.7%</w:t>
            </w:r>
          </w:p>
        </w:tc>
        <w:tc>
          <w:tcPr>
            <w:tcW w:w="1080" w:type="dxa"/>
            <w:shd w:val="clear" w:color="auto" w:fill="FFFFFF"/>
            <w:tcMar>
              <w:top w:w="0" w:type="dxa"/>
              <w:left w:w="0" w:type="dxa"/>
              <w:bottom w:w="0" w:type="dxa"/>
              <w:right w:w="0" w:type="dxa"/>
            </w:tcMar>
            <w:vAlign w:val="center"/>
          </w:tcPr>
          <w:p w14:paraId="2F0AD5FB" w14:textId="77777777" w:rsidR="00870BBA" w:rsidRDefault="00870BBA" w:rsidP="00870BBA">
            <w:pPr>
              <w:spacing w:before="40" w:after="40"/>
              <w:ind w:left="100" w:right="100"/>
              <w:jc w:val="right"/>
            </w:pPr>
            <w:r>
              <w:rPr>
                <w:rFonts w:ascii="Arial" w:eastAsia="Arial" w:hAnsi="Arial" w:cs="Arial"/>
                <w:color w:val="111111"/>
                <w:sz w:val="14"/>
                <w:szCs w:val="14"/>
              </w:rPr>
              <w:t>54.4%</w:t>
            </w:r>
          </w:p>
        </w:tc>
      </w:tr>
    </w:tbl>
    <w:p w14:paraId="5BD9493B" w14:textId="74EC59FA" w:rsidR="00D9754D" w:rsidRPr="00870BBA" w:rsidRDefault="00CE2957">
      <w:pPr>
        <w:numPr>
          <w:ilvl w:val="0"/>
          <w:numId w:val="16"/>
        </w:numPr>
        <w:rPr>
          <w:lang w:val="es-CL"/>
        </w:rPr>
      </w:pPr>
      <w:r w:rsidRPr="00870BBA">
        <w:rPr>
          <w:lang w:val="es-CL"/>
        </w:rPr>
        <w:t xml:space="preserve">El impacto del COVID-19 en el mercado laboral regional y nacional continúa profundizándose, </w:t>
      </w:r>
      <w:r w:rsidR="00C40D47">
        <w:rPr>
          <w:lang w:val="es-CL"/>
        </w:rPr>
        <w:t xml:space="preserve">pero </w:t>
      </w:r>
      <w:r w:rsidR="00B0785C">
        <w:rPr>
          <w:lang w:val="es-CL"/>
        </w:rPr>
        <w:t>a una tasa claramente menor</w:t>
      </w:r>
      <w:r w:rsidR="00C40D47">
        <w:rPr>
          <w:lang w:val="es-CL"/>
        </w:rPr>
        <w:t>.</w:t>
      </w:r>
    </w:p>
    <w:p w14:paraId="39DB51B2" w14:textId="408CAB22" w:rsidR="00D9754D" w:rsidRPr="00870BBA" w:rsidRDefault="00CE2957">
      <w:pPr>
        <w:numPr>
          <w:ilvl w:val="0"/>
          <w:numId w:val="16"/>
        </w:numPr>
        <w:rPr>
          <w:lang w:val="es-CL"/>
        </w:rPr>
      </w:pPr>
      <w:r w:rsidRPr="00870BBA">
        <w:rPr>
          <w:lang w:val="es-CL"/>
        </w:rPr>
        <w:t>El boletín publicado este mes (</w:t>
      </w:r>
      <w:r w:rsidR="00C40D47">
        <w:rPr>
          <w:lang w:val="es-CL"/>
        </w:rPr>
        <w:t>Agosto</w:t>
      </w:r>
      <w:r w:rsidRPr="00870BBA">
        <w:rPr>
          <w:lang w:val="es-CL"/>
        </w:rPr>
        <w:t>), corresponde a los datos del trimestre móvil Mayo-Junio</w:t>
      </w:r>
      <w:r w:rsidR="00C40D47">
        <w:rPr>
          <w:lang w:val="es-CL"/>
        </w:rPr>
        <w:t>-Julio</w:t>
      </w:r>
      <w:r w:rsidRPr="00870BBA">
        <w:rPr>
          <w:lang w:val="es-CL"/>
        </w:rPr>
        <w:t xml:space="preserve"> (MJ</w:t>
      </w:r>
      <w:r w:rsidR="00C40D47">
        <w:rPr>
          <w:lang w:val="es-CL"/>
        </w:rPr>
        <w:t>J</w:t>
      </w:r>
      <w:r w:rsidRPr="00870BBA">
        <w:rPr>
          <w:lang w:val="es-CL"/>
        </w:rPr>
        <w:t xml:space="preserve">-2020), los cuales fueron publicados por el INE el </w:t>
      </w:r>
      <w:r w:rsidR="00C40D47">
        <w:rPr>
          <w:lang w:val="es-CL"/>
        </w:rPr>
        <w:t>28</w:t>
      </w:r>
      <w:r w:rsidRPr="00870BBA">
        <w:rPr>
          <w:lang w:val="es-CL"/>
        </w:rPr>
        <w:t xml:space="preserve"> de </w:t>
      </w:r>
      <w:r w:rsidR="00C40D47">
        <w:rPr>
          <w:lang w:val="es-CL"/>
        </w:rPr>
        <w:t>agosto</w:t>
      </w:r>
      <w:r w:rsidRPr="00870BBA">
        <w:rPr>
          <w:lang w:val="es-CL"/>
        </w:rPr>
        <w:t xml:space="preserve"> de 2020</w:t>
      </w:r>
      <w:r>
        <w:rPr>
          <w:rStyle w:val="Refdenotaalpie"/>
        </w:rPr>
        <w:footnoteReference w:id="1"/>
      </w:r>
      <w:r w:rsidRPr="00870BBA">
        <w:rPr>
          <w:lang w:val="es-CL"/>
        </w:rPr>
        <w:t>.</w:t>
      </w:r>
    </w:p>
    <w:p w14:paraId="1EE93BD2" w14:textId="77777777" w:rsidR="00D9754D" w:rsidRPr="00870BBA" w:rsidRDefault="00D9754D">
      <w:pPr>
        <w:pStyle w:val="FirstParagraph"/>
        <w:rPr>
          <w:lang w:val="es-CL"/>
        </w:rPr>
      </w:pPr>
    </w:p>
    <w:p w14:paraId="13E20F20" w14:textId="77777777" w:rsidR="00DB31B7" w:rsidRPr="00870BBA" w:rsidRDefault="00DB31B7" w:rsidP="00DB31B7">
      <w:pPr>
        <w:pStyle w:val="Textoindependiente"/>
        <w:jc w:val="both"/>
        <w:rPr>
          <w:lang w:val="es-CL"/>
        </w:rPr>
      </w:pPr>
      <w:r w:rsidRPr="00870BBA">
        <w:rPr>
          <w:lang w:val="es-CL"/>
        </w:rPr>
        <w:t>Los principales resultados del trimestre son:</w:t>
      </w:r>
    </w:p>
    <w:p w14:paraId="4447A4BA" w14:textId="439539F4" w:rsidR="00D9754D" w:rsidRPr="00DB31B7" w:rsidRDefault="00DB31B7" w:rsidP="00DB31B7">
      <w:pPr>
        <w:numPr>
          <w:ilvl w:val="0"/>
          <w:numId w:val="17"/>
        </w:numPr>
        <w:jc w:val="both"/>
        <w:rPr>
          <w:lang w:val="es-CL"/>
        </w:rPr>
      </w:pPr>
      <w:r w:rsidRPr="00870BBA">
        <w:rPr>
          <w:lang w:val="es-CL"/>
        </w:rPr>
        <w:t>Existe una reducción en 7</w:t>
      </w:r>
      <w:r>
        <w:rPr>
          <w:lang w:val="es-CL"/>
        </w:rPr>
        <w:t>73</w:t>
      </w:r>
      <w:r w:rsidRPr="00870BBA">
        <w:rPr>
          <w:lang w:val="es-CL"/>
        </w:rPr>
        <w:t xml:space="preserve"> mil personas empleadas y un incremento de 15</w:t>
      </w:r>
      <w:r>
        <w:rPr>
          <w:lang w:val="es-CL"/>
        </w:rPr>
        <w:t>2</w:t>
      </w:r>
      <w:r w:rsidRPr="00870BBA">
        <w:rPr>
          <w:lang w:val="es-CL"/>
        </w:rPr>
        <w:t xml:space="preserve"> mil personas desocupadas entre el trimestre actual y el mismo del año 2019. Esto implica que un </w:t>
      </w:r>
      <w:r>
        <w:rPr>
          <w:lang w:val="es-CL"/>
        </w:rPr>
        <w:t>20</w:t>
      </w:r>
      <w:r w:rsidRPr="00870BBA">
        <w:rPr>
          <w:lang w:val="es-CL"/>
        </w:rPr>
        <w:t>% de menos empleos, al comparar el trimestre actual con el mismo del año 2019. Esto</w:t>
      </w:r>
      <w:r>
        <w:rPr>
          <w:lang w:val="es-CL"/>
        </w:rPr>
        <w:t>s números son similares a los presentados en el boletín anterior, lo que indica que la profunda caída en el número de empleos puede estar llegando a su punto más bajo. Sin embargo, aún no hay signos de recuperación</w:t>
      </w:r>
      <w:r w:rsidRPr="00870BBA">
        <w:rPr>
          <w:lang w:val="es-CL"/>
        </w:rPr>
        <w:t>.</w:t>
      </w:r>
    </w:p>
    <w:p w14:paraId="0B874279" w14:textId="77777777" w:rsidR="00D9754D" w:rsidRPr="00870BBA" w:rsidRDefault="00CE2957">
      <w:pPr>
        <w:pStyle w:val="Ttulo4"/>
        <w:rPr>
          <w:lang w:val="es-CL"/>
        </w:rPr>
      </w:pPr>
      <w:bookmarkStart w:id="1" w:name="X18da3e0198a8d4d208a796fc91675fc24cfa9d6"/>
      <w:r w:rsidRPr="00870BBA">
        <w:rPr>
          <w:lang w:val="es-CL"/>
        </w:rPr>
        <w:t>Evolución de la Ocupación Regional (2017-2020)</w:t>
      </w:r>
      <w:bookmarkEnd w:id="1"/>
    </w:p>
    <w:p w14:paraId="5F0DD9B2" w14:textId="77777777" w:rsidR="00D9754D" w:rsidRDefault="00CE2957">
      <w:pPr>
        <w:pStyle w:val="FirstParagraph"/>
      </w:pPr>
      <w:r>
        <w:rPr>
          <w:noProof/>
          <w:lang w:val="es-CL" w:eastAsia="es-CL"/>
        </w:rPr>
        <w:drawing>
          <wp:inline distT="0" distB="0" distL="0" distR="0" wp14:anchorId="1970CAF8" wp14:editId="17274139">
            <wp:extent cx="6413627" cy="25654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Grafico%201-1.png"/>
                    <pic:cNvPicPr>
                      <a:picLocks noChangeAspect="1" noChangeArrowheads="1"/>
                    </pic:cNvPicPr>
                  </pic:nvPicPr>
                  <pic:blipFill>
                    <a:blip r:embed="rId7"/>
                    <a:stretch>
                      <a:fillRect/>
                    </a:stretch>
                  </pic:blipFill>
                  <pic:spPr bwMode="auto">
                    <a:xfrm>
                      <a:off x="0" y="0"/>
                      <a:ext cx="6413627" cy="2565450"/>
                    </a:xfrm>
                    <a:prstGeom prst="rect">
                      <a:avLst/>
                    </a:prstGeom>
                    <a:noFill/>
                    <a:ln w="9525">
                      <a:noFill/>
                      <a:headEnd/>
                      <a:tailEnd/>
                    </a:ln>
                  </pic:spPr>
                </pic:pic>
              </a:graphicData>
            </a:graphic>
          </wp:inline>
        </w:drawing>
      </w:r>
    </w:p>
    <w:p w14:paraId="6BD4EC8B" w14:textId="3310FB9C" w:rsidR="00D9754D" w:rsidRPr="00870BBA" w:rsidRDefault="00CE2957" w:rsidP="00DB31B7">
      <w:pPr>
        <w:numPr>
          <w:ilvl w:val="0"/>
          <w:numId w:val="17"/>
        </w:numPr>
        <w:jc w:val="both"/>
        <w:rPr>
          <w:lang w:val="es-CL"/>
        </w:rPr>
      </w:pPr>
      <w:r w:rsidRPr="00870BBA">
        <w:rPr>
          <w:lang w:val="es-CL"/>
        </w:rPr>
        <w:t xml:space="preserve">El mayor flujo ha sido de empleo a inactividad, es decir personas que salen del mercado laboral, pues dejan de buscar empleo activamente. De hecho, hubo un aumento en </w:t>
      </w:r>
      <w:r w:rsidR="002333D4">
        <w:rPr>
          <w:lang w:val="es-CL"/>
        </w:rPr>
        <w:t>808</w:t>
      </w:r>
      <w:r w:rsidRPr="00870BBA">
        <w:rPr>
          <w:lang w:val="es-CL"/>
        </w:rPr>
        <w:t xml:space="preserve"> mil personas inactivas respecto del mismo trimestre del año 2019. Es por esta razón que el análisis de la situación del mercado laboral actual no debe restringir su foco a la evolución de la tasa de desempleo, sino que mirar con especial atención la evolución del empleo</w:t>
      </w:r>
      <w:r w:rsidR="002333D4">
        <w:rPr>
          <w:lang w:val="es-CL"/>
        </w:rPr>
        <w:t xml:space="preserve"> y el grupo de inactivos.</w:t>
      </w:r>
    </w:p>
    <w:p w14:paraId="628392DF" w14:textId="04105330" w:rsidR="00D9754D" w:rsidRPr="00870BBA" w:rsidRDefault="00CE2957" w:rsidP="00DB31B7">
      <w:pPr>
        <w:numPr>
          <w:ilvl w:val="0"/>
          <w:numId w:val="17"/>
        </w:numPr>
        <w:jc w:val="both"/>
        <w:rPr>
          <w:lang w:val="es-CL"/>
        </w:rPr>
      </w:pPr>
      <w:r w:rsidRPr="00870BBA">
        <w:rPr>
          <w:lang w:val="es-CL"/>
        </w:rPr>
        <w:lastRenderedPageBreak/>
        <w:t xml:space="preserve">De los </w:t>
      </w:r>
      <w:r w:rsidR="002333D4">
        <w:rPr>
          <w:lang w:val="es-CL"/>
        </w:rPr>
        <w:t>46</w:t>
      </w:r>
      <w:r w:rsidRPr="00870BBA">
        <w:rPr>
          <w:lang w:val="es-CL"/>
        </w:rPr>
        <w:t xml:space="preserve"> mil ocupados menos, con respecto al trimestre inmediatamente anterior, el </w:t>
      </w:r>
      <w:r w:rsidR="002333D4">
        <w:rPr>
          <w:lang w:val="es-CL"/>
        </w:rPr>
        <w:t>49</w:t>
      </w:r>
      <w:r w:rsidRPr="00870BBA">
        <w:rPr>
          <w:lang w:val="es-CL"/>
        </w:rPr>
        <w:t>% realiza el esfuerzo para conseguir un empleo</w:t>
      </w:r>
      <w:r w:rsidR="002333D4">
        <w:rPr>
          <w:lang w:val="es-CL"/>
        </w:rPr>
        <w:t>, lo que contrasta con el 15,5% del boletín anterior.</w:t>
      </w:r>
      <w:r w:rsidR="00866B6E">
        <w:rPr>
          <w:lang w:val="es-CL"/>
        </w:rPr>
        <w:t xml:space="preserve"> Aquello puede significar, entre otras cosas, que las personas tienen una expectativa más optimista respecto a sus posibilidades de encontrar un nuevo empleo.</w:t>
      </w:r>
    </w:p>
    <w:p w14:paraId="6CA650F2" w14:textId="7918D521" w:rsidR="00D9754D" w:rsidRPr="002333D4" w:rsidRDefault="002333D4" w:rsidP="00DB31B7">
      <w:pPr>
        <w:numPr>
          <w:ilvl w:val="0"/>
          <w:numId w:val="17"/>
        </w:numPr>
        <w:jc w:val="both"/>
        <w:rPr>
          <w:lang w:val="es-CL"/>
        </w:rPr>
      </w:pPr>
      <w:r>
        <w:rPr>
          <w:lang w:val="es-CL"/>
        </w:rPr>
        <w:t xml:space="preserve">En contraste con los boletines anteriores, se empieza a observar una leve mejoría </w:t>
      </w:r>
      <w:r w:rsidR="00866B6E">
        <w:rPr>
          <w:lang w:val="es-CL"/>
        </w:rPr>
        <w:t>en</w:t>
      </w:r>
      <w:r>
        <w:rPr>
          <w:lang w:val="es-CL"/>
        </w:rPr>
        <w:t xml:space="preserve"> las percepciones futuras del mercado laboral por parte de los inactivos. </w:t>
      </w:r>
      <w:r w:rsidR="00A25966">
        <w:rPr>
          <w:lang w:val="es-CL"/>
        </w:rPr>
        <w:t>Lo que se refleja en las razones que ellos dan para no buscar un nuevo empleo. Mientras antes dominaban</w:t>
      </w:r>
      <w:r>
        <w:rPr>
          <w:lang w:val="es-CL"/>
        </w:rPr>
        <w:t xml:space="preserve"> las razones "no encontrará"</w:t>
      </w:r>
      <w:r w:rsidR="00A25966">
        <w:rPr>
          <w:lang w:val="es-CL"/>
        </w:rPr>
        <w:t xml:space="preserve"> y "repunte del mercado", ambas relacionadas a las perspectivas futuras;</w:t>
      </w:r>
      <w:r>
        <w:rPr>
          <w:lang w:val="es-CL"/>
        </w:rPr>
        <w:t xml:space="preserve"> este trimestre </w:t>
      </w:r>
      <w:r w:rsidR="00A25966">
        <w:rPr>
          <w:lang w:val="es-CL"/>
        </w:rPr>
        <w:t xml:space="preserve">domina el "no encontró" (una referencia al pasado) y </w:t>
      </w:r>
      <w:r w:rsidR="004A0247">
        <w:rPr>
          <w:lang w:val="es-CL"/>
        </w:rPr>
        <w:t>la razón "no encontrará" disminuye en un 67,6%.</w:t>
      </w:r>
    </w:p>
    <w:p w14:paraId="437C4F3F" w14:textId="686F066D" w:rsidR="00D9754D" w:rsidRPr="00870BBA" w:rsidRDefault="00B95320" w:rsidP="00DB31B7">
      <w:pPr>
        <w:numPr>
          <w:ilvl w:val="0"/>
          <w:numId w:val="17"/>
        </w:numPr>
        <w:jc w:val="both"/>
        <w:rPr>
          <w:lang w:val="es-CL"/>
        </w:rPr>
      </w:pPr>
      <w:r>
        <w:rPr>
          <w:lang w:val="es-CL"/>
        </w:rPr>
        <w:t>Otro aspecto interesante para notar es la disminución en el aumento de desocupados para el rango de 30 a 44 años (66,4% este boletín, contra 91,7% en el anterior). Lo mismo ocurre para los inactivos, donde se observó una duplicación en el boletín pasado y en este un aumento del 88.7%.</w:t>
      </w:r>
    </w:p>
    <w:p w14:paraId="12F8FD21" w14:textId="535CE3B1" w:rsidR="00D9754D" w:rsidRPr="00870BBA" w:rsidRDefault="00CE2957" w:rsidP="00DA5A43">
      <w:pPr>
        <w:numPr>
          <w:ilvl w:val="0"/>
          <w:numId w:val="17"/>
        </w:numPr>
        <w:jc w:val="both"/>
        <w:rPr>
          <w:lang w:val="es-CL"/>
        </w:rPr>
      </w:pPr>
      <w:r w:rsidRPr="00870BBA">
        <w:rPr>
          <w:lang w:val="es-CL"/>
        </w:rPr>
        <w:t>También se observa que los grupos más vulnerables, es decir, los de bajo nivel de educación e informalidad laboral, han sido los más afectados por el shock sobre el mercado laboral producto de la crisis sanitaria</w:t>
      </w:r>
      <w:r w:rsidR="00FD681C">
        <w:rPr>
          <w:lang w:val="es-CL"/>
        </w:rPr>
        <w:t>, en el sentido que su disminución en el número de ocupadas es proporcionalmente más alta.</w:t>
      </w:r>
    </w:p>
    <w:p w14:paraId="75139B46" w14:textId="77777777" w:rsidR="00D9754D" w:rsidRDefault="00CE2957" w:rsidP="00DA5A43">
      <w:pPr>
        <w:numPr>
          <w:ilvl w:val="0"/>
          <w:numId w:val="17"/>
        </w:numPr>
        <w:jc w:val="both"/>
      </w:pPr>
      <w:r w:rsidRPr="00870BBA">
        <w:rPr>
          <w:lang w:val="es-CL"/>
        </w:rPr>
        <w:t xml:space="preserve">La gran destrucción de ocupación, que se suma a las relaciones laborales suspendidas en el marco de la ley de protección del empleo, tendrá consecuencias de mediano y largo plazo, más allá de la extensión de la crisis sanitaria. La recuperación del mercado laboral será más lenta de lo que hubiera sido si las políticas públicas implementadas hubieran logrado proteger los empleos. </w:t>
      </w:r>
      <w:r>
        <w:t xml:space="preserve">Más </w:t>
      </w:r>
      <w:proofErr w:type="spellStart"/>
      <w:r>
        <w:t>información</w:t>
      </w:r>
      <w:proofErr w:type="spellEnd"/>
      <w:r>
        <w:t xml:space="preserve"> </w:t>
      </w:r>
      <w:proofErr w:type="spellStart"/>
      <w:r>
        <w:t>en</w:t>
      </w:r>
      <w:proofErr w:type="spellEnd"/>
      <w:r>
        <w:t xml:space="preserve"> </w:t>
      </w:r>
      <w:proofErr w:type="spellStart"/>
      <w:r>
        <w:t>el</w:t>
      </w:r>
      <w:proofErr w:type="spellEnd"/>
      <w:r>
        <w:t xml:space="preserve"> </w:t>
      </w:r>
      <w:hyperlink r:id="rId8">
        <w:proofErr w:type="spellStart"/>
        <w:r>
          <w:rPr>
            <w:rStyle w:val="Hipervnculo"/>
          </w:rPr>
          <w:t>Boletín</w:t>
        </w:r>
        <w:proofErr w:type="spellEnd"/>
        <w:r>
          <w:rPr>
            <w:rStyle w:val="Hipervnculo"/>
          </w:rPr>
          <w:t xml:space="preserve"> Laboral CEPR - Especial COVID19</w:t>
        </w:r>
      </w:hyperlink>
    </w:p>
    <w:p w14:paraId="0C38C6CB" w14:textId="77777777" w:rsidR="00D9754D" w:rsidRDefault="00D9754D">
      <w:pPr>
        <w:pStyle w:val="FirstParagraph"/>
      </w:pPr>
    </w:p>
    <w:p w14:paraId="792EFEAF" w14:textId="77777777" w:rsidR="00D9754D" w:rsidRPr="00870BBA" w:rsidRDefault="00CE2957">
      <w:pPr>
        <w:pStyle w:val="Ttulo4"/>
        <w:rPr>
          <w:lang w:val="es-CL"/>
        </w:rPr>
      </w:pPr>
      <w:bookmarkStart w:id="2" w:name="X73d4fc5f1e34e6e7bbb2090a2741e37d313b11f"/>
      <w:r w:rsidRPr="00870BBA">
        <w:rPr>
          <w:lang w:val="es-CL"/>
        </w:rPr>
        <w:t>Evolución de la Situación Ocupacional (Variación con respecto al Trimestre Anterior)</w:t>
      </w:r>
      <w:bookmarkEnd w:id="2"/>
    </w:p>
    <w:p w14:paraId="1AED6E78" w14:textId="77777777" w:rsidR="00D9754D" w:rsidRDefault="00CE2957">
      <w:pPr>
        <w:pStyle w:val="FirstParagraph"/>
      </w:pPr>
      <w:r>
        <w:rPr>
          <w:noProof/>
          <w:lang w:val="es-CL" w:eastAsia="es-CL"/>
        </w:rPr>
        <w:drawing>
          <wp:inline distT="0" distB="0" distL="0" distR="0" wp14:anchorId="57FDD2DD" wp14:editId="3F8F5A1A">
            <wp:extent cx="6413627" cy="339006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Grafico%202-1.png"/>
                    <pic:cNvPicPr>
                      <a:picLocks noChangeAspect="1" noChangeArrowheads="1"/>
                    </pic:cNvPicPr>
                  </pic:nvPicPr>
                  <pic:blipFill>
                    <a:blip r:embed="rId9"/>
                    <a:stretch>
                      <a:fillRect/>
                    </a:stretch>
                  </pic:blipFill>
                  <pic:spPr bwMode="auto">
                    <a:xfrm>
                      <a:off x="0" y="0"/>
                      <a:ext cx="6413627" cy="3390060"/>
                    </a:xfrm>
                    <a:prstGeom prst="rect">
                      <a:avLst/>
                    </a:prstGeom>
                    <a:noFill/>
                    <a:ln w="9525">
                      <a:noFill/>
                      <a:headEnd/>
                      <a:tailEnd/>
                    </a:ln>
                  </pic:spPr>
                </pic:pic>
              </a:graphicData>
            </a:graphic>
          </wp:inline>
        </w:drawing>
      </w:r>
    </w:p>
    <w:p w14:paraId="21B3C4D7" w14:textId="329ADED9" w:rsidR="00D9754D" w:rsidRPr="00870BBA" w:rsidRDefault="00CE2957" w:rsidP="00DA5A43">
      <w:pPr>
        <w:numPr>
          <w:ilvl w:val="0"/>
          <w:numId w:val="18"/>
        </w:numPr>
        <w:jc w:val="both"/>
        <w:rPr>
          <w:lang w:val="es-CL"/>
        </w:rPr>
      </w:pPr>
      <w:r w:rsidRPr="00870BBA">
        <w:rPr>
          <w:lang w:val="es-CL"/>
        </w:rPr>
        <w:t>En el trimestre Mayo-Junio</w:t>
      </w:r>
      <w:r w:rsidR="00F362C7">
        <w:rPr>
          <w:lang w:val="es-CL"/>
        </w:rPr>
        <w:t>-Julio</w:t>
      </w:r>
      <w:r w:rsidRPr="00870BBA">
        <w:rPr>
          <w:lang w:val="es-CL"/>
        </w:rPr>
        <w:t xml:space="preserve"> (MJ</w:t>
      </w:r>
      <w:r w:rsidR="00F362C7">
        <w:rPr>
          <w:lang w:val="es-CL"/>
        </w:rPr>
        <w:t>J</w:t>
      </w:r>
      <w:r w:rsidRPr="00870BBA">
        <w:rPr>
          <w:lang w:val="es-CL"/>
        </w:rPr>
        <w:t>) 2020, los ocupados disminuyeron en 7</w:t>
      </w:r>
      <w:r w:rsidR="00F362C7">
        <w:rPr>
          <w:lang w:val="es-CL"/>
        </w:rPr>
        <w:t>73</w:t>
      </w:r>
      <w:r w:rsidRPr="00870BBA">
        <w:rPr>
          <w:lang w:val="es-CL"/>
        </w:rPr>
        <w:t>.</w:t>
      </w:r>
      <w:r w:rsidR="00F362C7">
        <w:rPr>
          <w:lang w:val="es-CL"/>
        </w:rPr>
        <w:t>344</w:t>
      </w:r>
      <w:r w:rsidRPr="00870BBA">
        <w:rPr>
          <w:lang w:val="es-CL"/>
        </w:rPr>
        <w:t xml:space="preserve"> </w:t>
      </w:r>
      <w:r w:rsidR="00F362C7">
        <w:rPr>
          <w:lang w:val="es-CL"/>
        </w:rPr>
        <w:t xml:space="preserve">en </w:t>
      </w:r>
      <w:r w:rsidRPr="00870BBA">
        <w:rPr>
          <w:lang w:val="es-CL"/>
        </w:rPr>
        <w:t>comparación con el mismo trimestre del 2019</w:t>
      </w:r>
      <w:r w:rsidR="002B3BFE">
        <w:rPr>
          <w:lang w:val="es-CL"/>
        </w:rPr>
        <w:t>, una reducción que equivale a un 20%</w:t>
      </w:r>
      <w:r w:rsidRPr="00870BBA">
        <w:rPr>
          <w:lang w:val="es-CL"/>
        </w:rPr>
        <w:t xml:space="preserve">. Esto implica una fuerte disminución de la actividad del mercado laboral sugiriendo una caída significativa también en la producción y el crecimiento. </w:t>
      </w:r>
    </w:p>
    <w:p w14:paraId="08933E61" w14:textId="1FA6D962" w:rsidR="00D9754D" w:rsidRPr="00870BBA" w:rsidRDefault="00CE2957" w:rsidP="00DA5A43">
      <w:pPr>
        <w:numPr>
          <w:ilvl w:val="0"/>
          <w:numId w:val="18"/>
        </w:numPr>
        <w:jc w:val="both"/>
        <w:rPr>
          <w:lang w:val="es-CL"/>
        </w:rPr>
      </w:pPr>
      <w:r w:rsidRPr="00870BBA">
        <w:rPr>
          <w:lang w:val="es-CL"/>
        </w:rPr>
        <w:t>E</w:t>
      </w:r>
      <w:r w:rsidR="000F4C5E">
        <w:rPr>
          <w:lang w:val="es-CL"/>
        </w:rPr>
        <w:t>l grupo de inactivos</w:t>
      </w:r>
      <w:r w:rsidRPr="00870BBA">
        <w:rPr>
          <w:lang w:val="es-CL"/>
        </w:rPr>
        <w:t xml:space="preserve"> aumentó en </w:t>
      </w:r>
      <w:r w:rsidR="00F362C7">
        <w:rPr>
          <w:lang w:val="es-CL"/>
        </w:rPr>
        <w:t>808</w:t>
      </w:r>
      <w:r w:rsidRPr="00870BBA">
        <w:rPr>
          <w:lang w:val="es-CL"/>
        </w:rPr>
        <w:t>.</w:t>
      </w:r>
      <w:r w:rsidR="00F362C7">
        <w:rPr>
          <w:lang w:val="es-CL"/>
        </w:rPr>
        <w:t>402</w:t>
      </w:r>
      <w:r w:rsidRPr="00870BBA">
        <w:rPr>
          <w:lang w:val="es-CL"/>
        </w:rPr>
        <w:t xml:space="preserve"> con respecto al trimestre MJ</w:t>
      </w:r>
      <w:r w:rsidR="00F362C7">
        <w:rPr>
          <w:lang w:val="es-CL"/>
        </w:rPr>
        <w:t>J</w:t>
      </w:r>
      <w:r w:rsidRPr="00870BBA">
        <w:rPr>
          <w:lang w:val="es-CL"/>
        </w:rPr>
        <w:t xml:space="preserve"> de 2019.</w:t>
      </w:r>
      <w:r w:rsidR="000F4C5E">
        <w:rPr>
          <w:lang w:val="es-CL"/>
        </w:rPr>
        <w:t xml:space="preserve"> Así, una particularidad de estos meses de crisis es que una gran proporción de quienes pierden un trabajo, no salen a buscar uno nuevo. </w:t>
      </w:r>
    </w:p>
    <w:p w14:paraId="13CCD3A7" w14:textId="5D8DC48A" w:rsidR="00D9754D" w:rsidRPr="00870BBA" w:rsidRDefault="000F4C5E" w:rsidP="00DA5A43">
      <w:pPr>
        <w:numPr>
          <w:ilvl w:val="0"/>
          <w:numId w:val="18"/>
        </w:numPr>
        <w:jc w:val="both"/>
        <w:rPr>
          <w:lang w:val="es-CL"/>
        </w:rPr>
      </w:pPr>
      <w:r>
        <w:rPr>
          <w:lang w:val="es-CL"/>
        </w:rPr>
        <w:lastRenderedPageBreak/>
        <w:t>Se observa</w:t>
      </w:r>
      <w:r w:rsidR="00CE2957" w:rsidRPr="00870BBA">
        <w:rPr>
          <w:lang w:val="es-CL"/>
        </w:rPr>
        <w:t xml:space="preserve"> </w:t>
      </w:r>
      <w:r>
        <w:rPr>
          <w:lang w:val="es-CL"/>
        </w:rPr>
        <w:t xml:space="preserve">una cierta estabilización en </w:t>
      </w:r>
      <w:r w:rsidR="00F362C7">
        <w:rPr>
          <w:lang w:val="es-CL"/>
        </w:rPr>
        <w:t>la disminución de actividad en el mercado laboral</w:t>
      </w:r>
      <w:r w:rsidR="00CE2957" w:rsidRPr="00870BBA">
        <w:rPr>
          <w:lang w:val="es-CL"/>
        </w:rPr>
        <w:t xml:space="preserve">. </w:t>
      </w:r>
      <w:r w:rsidR="006C5D48">
        <w:rPr>
          <w:lang w:val="es-CL"/>
        </w:rPr>
        <w:t>Mientras este trimestre</w:t>
      </w:r>
      <w:r w:rsidR="00CE2957" w:rsidRPr="00870BBA">
        <w:rPr>
          <w:lang w:val="es-CL"/>
        </w:rPr>
        <w:t xml:space="preserve"> la reducción de la ocupación </w:t>
      </w:r>
      <w:r w:rsidR="006C5D48">
        <w:rPr>
          <w:lang w:val="es-CL"/>
        </w:rPr>
        <w:t>fue</w:t>
      </w:r>
      <w:r w:rsidR="00CE2957" w:rsidRPr="00870BBA">
        <w:rPr>
          <w:lang w:val="es-CL"/>
        </w:rPr>
        <w:t xml:space="preserve"> de </w:t>
      </w:r>
      <w:r w:rsidR="00F362C7">
        <w:rPr>
          <w:lang w:val="es-CL"/>
        </w:rPr>
        <w:t>4</w:t>
      </w:r>
      <w:r w:rsidR="00CE2957" w:rsidRPr="00870BBA">
        <w:rPr>
          <w:lang w:val="es-CL"/>
        </w:rPr>
        <w:t>6.</w:t>
      </w:r>
      <w:r w:rsidR="00F362C7">
        <w:rPr>
          <w:lang w:val="es-CL"/>
        </w:rPr>
        <w:t>380</w:t>
      </w:r>
      <w:r w:rsidR="00CE2957" w:rsidRPr="00870BBA">
        <w:rPr>
          <w:lang w:val="es-CL"/>
        </w:rPr>
        <w:t xml:space="preserve"> personas, en comparación al trimestre anterior, </w:t>
      </w:r>
      <w:r w:rsidR="006C5D48">
        <w:rPr>
          <w:lang w:val="es-CL"/>
        </w:rPr>
        <w:t>tal variación fue</w:t>
      </w:r>
      <w:r w:rsidR="00F362C7">
        <w:rPr>
          <w:lang w:val="es-CL"/>
        </w:rPr>
        <w:t xml:space="preserve"> </w:t>
      </w:r>
      <w:r w:rsidR="006C5D48">
        <w:rPr>
          <w:lang w:val="es-CL"/>
        </w:rPr>
        <w:t xml:space="preserve">de </w:t>
      </w:r>
      <w:r w:rsidR="00F362C7">
        <w:rPr>
          <w:lang w:val="es-CL"/>
        </w:rPr>
        <w:t xml:space="preserve">126 mil </w:t>
      </w:r>
      <w:r w:rsidR="006C5D48">
        <w:rPr>
          <w:lang w:val="es-CL"/>
        </w:rPr>
        <w:t>el trimestre</w:t>
      </w:r>
      <w:r w:rsidR="00F362C7">
        <w:rPr>
          <w:lang w:val="es-CL"/>
        </w:rPr>
        <w:t xml:space="preserve"> pasado</w:t>
      </w:r>
      <w:r w:rsidR="00CE2957" w:rsidRPr="00870BBA">
        <w:rPr>
          <w:lang w:val="es-CL"/>
        </w:rPr>
        <w:t xml:space="preserve">. </w:t>
      </w:r>
      <w:r w:rsidR="006C5D48">
        <w:rPr>
          <w:lang w:val="es-CL"/>
        </w:rPr>
        <w:t>A su vez</w:t>
      </w:r>
      <w:r w:rsidR="00F362C7">
        <w:rPr>
          <w:lang w:val="es-CL"/>
        </w:rPr>
        <w:t xml:space="preserve">, </w:t>
      </w:r>
      <w:r w:rsidR="006C5D48">
        <w:rPr>
          <w:lang w:val="es-CL"/>
        </w:rPr>
        <w:t>mientras</w:t>
      </w:r>
      <w:r w:rsidR="004C5847">
        <w:rPr>
          <w:lang w:val="es-CL"/>
        </w:rPr>
        <w:t xml:space="preserve"> </w:t>
      </w:r>
      <w:r w:rsidR="006C5D48">
        <w:rPr>
          <w:lang w:val="es-CL"/>
        </w:rPr>
        <w:t xml:space="preserve">en el boletín anterior </w:t>
      </w:r>
      <w:r w:rsidR="004C5847">
        <w:rPr>
          <w:lang w:val="es-CL"/>
        </w:rPr>
        <w:t xml:space="preserve">solo un 15,5% </w:t>
      </w:r>
      <w:r w:rsidR="006C5D48">
        <w:rPr>
          <w:lang w:val="es-CL"/>
        </w:rPr>
        <w:t xml:space="preserve">de quienes perdían el empleo </w:t>
      </w:r>
      <w:r w:rsidR="004C5847">
        <w:rPr>
          <w:lang w:val="es-CL"/>
        </w:rPr>
        <w:t>pasaba</w:t>
      </w:r>
      <w:r w:rsidR="006C5D48">
        <w:rPr>
          <w:lang w:val="es-CL"/>
        </w:rPr>
        <w:t>n</w:t>
      </w:r>
      <w:r w:rsidR="004C5847">
        <w:rPr>
          <w:lang w:val="es-CL"/>
        </w:rPr>
        <w:t xml:space="preserve"> a </w:t>
      </w:r>
      <w:r w:rsidR="006C5D48">
        <w:rPr>
          <w:lang w:val="es-CL"/>
        </w:rPr>
        <w:t xml:space="preserve">ser </w:t>
      </w:r>
      <w:r w:rsidR="004C5847">
        <w:rPr>
          <w:lang w:val="es-CL"/>
        </w:rPr>
        <w:t xml:space="preserve">desocupados, en este boletín se observa que un 49% lo hace. </w:t>
      </w:r>
    </w:p>
    <w:p w14:paraId="33E05AED" w14:textId="77777777" w:rsidR="00D9754D" w:rsidRPr="00870BBA" w:rsidRDefault="00CE2957" w:rsidP="00DA5A43">
      <w:pPr>
        <w:numPr>
          <w:ilvl w:val="0"/>
          <w:numId w:val="18"/>
        </w:numPr>
        <w:jc w:val="both"/>
        <w:rPr>
          <w:lang w:val="es-CL"/>
        </w:rPr>
      </w:pPr>
      <w:r w:rsidRPr="00870BBA">
        <w:rPr>
          <w:lang w:val="es-CL"/>
        </w:rPr>
        <w:t>El siguiente gráfico muestra la comparación de las tasas de Desocupación y Desocupación Combinada (SU3). Esta tasa, a diferencia de la tasa de desempleo tradicional, considera también a las personas que aun cuando no han buscado trabajo, y por lo tanto no son parte del cálculo tradicional de la tasa de desempleo, sí declaran que estarían disponible a trabajar.</w:t>
      </w:r>
    </w:p>
    <w:p w14:paraId="410D04D9" w14:textId="510BD8EE" w:rsidR="00D9754D" w:rsidRPr="004C5847" w:rsidRDefault="00CE2957" w:rsidP="00DA5A43">
      <w:pPr>
        <w:numPr>
          <w:ilvl w:val="0"/>
          <w:numId w:val="18"/>
        </w:numPr>
        <w:jc w:val="both"/>
        <w:rPr>
          <w:lang w:val="es-CL"/>
        </w:rPr>
      </w:pPr>
      <w:r w:rsidRPr="00870BBA">
        <w:rPr>
          <w:lang w:val="es-CL"/>
        </w:rPr>
        <w:t xml:space="preserve">Como se observa en el gráfico, antes de octubre 2019 (condiciones pre-estallido social y pandemia), estas dos tasas de desempleo se movían de forma paralela. </w:t>
      </w:r>
      <w:r w:rsidRPr="00870BBA">
        <w:rPr>
          <w:b/>
          <w:lang w:val="es-CL"/>
        </w:rPr>
        <w:t xml:space="preserve">Sin embargo, en los últimos meses, la tasa de Desocupación SU3 comienza a crecer </w:t>
      </w:r>
      <w:r w:rsidR="006C5D48">
        <w:rPr>
          <w:b/>
          <w:lang w:val="es-CL"/>
        </w:rPr>
        <w:t>a mayor velocidad</w:t>
      </w:r>
      <w:r w:rsidRPr="00870BBA">
        <w:rPr>
          <w:b/>
          <w:lang w:val="es-CL"/>
        </w:rPr>
        <w:t xml:space="preserve"> que la tasa de desempleo, lo que sugiere un quiebre estructural en el mercado laboral, y apoya la hipótesis de que estamos entrando en una crisis no es temporal, sino que de un carácter más permanente.</w:t>
      </w:r>
    </w:p>
    <w:p w14:paraId="710A1B34" w14:textId="61B1418A" w:rsidR="004C5847" w:rsidRPr="00870BBA" w:rsidRDefault="004C5847" w:rsidP="00DA5A43">
      <w:pPr>
        <w:numPr>
          <w:ilvl w:val="0"/>
          <w:numId w:val="18"/>
        </w:numPr>
        <w:jc w:val="both"/>
        <w:rPr>
          <w:lang w:val="es-CL"/>
        </w:rPr>
      </w:pPr>
      <w:r>
        <w:rPr>
          <w:bCs/>
          <w:lang w:val="es-CL"/>
        </w:rPr>
        <w:t xml:space="preserve">Sin embargo, </w:t>
      </w:r>
      <w:r w:rsidR="0078040E">
        <w:rPr>
          <w:bCs/>
          <w:lang w:val="es-CL"/>
        </w:rPr>
        <w:t>este boletín muestra un aumento relativamente pequeño en la tasa SU3, y un aumento mayor en la tasa de desocupación tradicional. Esto significa que potenciales trabajadores están empezando a buscar trabajo, lo que puede significar el inicio de una futura recuperación.</w:t>
      </w:r>
      <w:r w:rsidR="006C5D48">
        <w:rPr>
          <w:bCs/>
          <w:lang w:val="es-CL"/>
        </w:rPr>
        <w:t xml:space="preserve"> Así, se puede dar la paradoja que mientras el mercado laboral se estabiliza, e incluso mejora, la tasa de desempleo empeora. Aquello se explica simplemente porque la tasa de desempleo no es un buen indicador en crisis que tienen un fuerte impacto sobre la inactividad. </w:t>
      </w:r>
    </w:p>
    <w:p w14:paraId="6135087E" w14:textId="77777777" w:rsidR="00D9754D" w:rsidRPr="00870BBA" w:rsidRDefault="00D9754D" w:rsidP="00DA5A43">
      <w:pPr>
        <w:pStyle w:val="FirstParagraph"/>
        <w:jc w:val="both"/>
        <w:rPr>
          <w:lang w:val="es-CL"/>
        </w:rPr>
      </w:pPr>
    </w:p>
    <w:p w14:paraId="4A93AD47" w14:textId="77777777" w:rsidR="00D9754D" w:rsidRPr="00870BBA" w:rsidRDefault="00CE2957">
      <w:pPr>
        <w:pStyle w:val="Ttulo4"/>
        <w:rPr>
          <w:lang w:val="es-CL"/>
        </w:rPr>
      </w:pPr>
      <w:bookmarkStart w:id="3" w:name="X1ebe0fd6373f7e952fe2e9e91c9c39c22f367cf"/>
      <w:r w:rsidRPr="00870BBA">
        <w:rPr>
          <w:lang w:val="es-CL"/>
        </w:rPr>
        <w:t>Comparación Desocupación y Desocupación Combinada (SU3)</w:t>
      </w:r>
      <w:bookmarkEnd w:id="3"/>
    </w:p>
    <w:p w14:paraId="1E6B5F07" w14:textId="77777777" w:rsidR="00D9754D" w:rsidRDefault="00CE2957">
      <w:pPr>
        <w:pStyle w:val="FirstParagraph"/>
      </w:pPr>
      <w:r>
        <w:rPr>
          <w:noProof/>
          <w:lang w:val="es-CL" w:eastAsia="es-CL"/>
        </w:rPr>
        <w:drawing>
          <wp:inline distT="0" distB="0" distL="0" distR="0" wp14:anchorId="79806DE9" wp14:editId="4F057503">
            <wp:extent cx="6413627" cy="2748697"/>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SU3-1.png"/>
                    <pic:cNvPicPr>
                      <a:picLocks noChangeAspect="1" noChangeArrowheads="1"/>
                    </pic:cNvPicPr>
                  </pic:nvPicPr>
                  <pic:blipFill>
                    <a:blip r:embed="rId10"/>
                    <a:stretch>
                      <a:fillRect/>
                    </a:stretch>
                  </pic:blipFill>
                  <pic:spPr bwMode="auto">
                    <a:xfrm>
                      <a:off x="0" y="0"/>
                      <a:ext cx="6413627" cy="2748697"/>
                    </a:xfrm>
                    <a:prstGeom prst="rect">
                      <a:avLst/>
                    </a:prstGeom>
                    <a:noFill/>
                    <a:ln w="9525">
                      <a:noFill/>
                      <a:headEnd/>
                      <a:tailEnd/>
                    </a:ln>
                  </pic:spPr>
                </pic:pic>
              </a:graphicData>
            </a:graphic>
          </wp:inline>
        </w:drawing>
      </w:r>
    </w:p>
    <w:p w14:paraId="3ADD937A" w14:textId="08AD5351" w:rsidR="00D9754D" w:rsidRPr="00870BBA" w:rsidRDefault="00CE2957" w:rsidP="003C2AF5">
      <w:pPr>
        <w:numPr>
          <w:ilvl w:val="0"/>
          <w:numId w:val="19"/>
        </w:numPr>
        <w:jc w:val="both"/>
        <w:rPr>
          <w:lang w:val="es-CL"/>
        </w:rPr>
      </w:pPr>
      <w:r w:rsidRPr="00870BBA">
        <w:rPr>
          <w:lang w:val="es-CL"/>
        </w:rPr>
        <w:t xml:space="preserve">Cabe hacer notar que durante este trimestre, la ley de protección del empleo se encuentra en pleno uso, por lo que aún no observamos la caída en el empleo adicional, asociada a la disminución del apoyo que entrega esta política pública. Por lo tanto, </w:t>
      </w:r>
      <w:r w:rsidR="0078040E">
        <w:rPr>
          <w:lang w:val="es-CL"/>
        </w:rPr>
        <w:t>es importante considerar el potencial efecto que puede tener el término de esta política pública.</w:t>
      </w:r>
    </w:p>
    <w:p w14:paraId="0B337D82" w14:textId="77777777" w:rsidR="00D9754D" w:rsidRPr="00870BBA" w:rsidRDefault="00CE2957">
      <w:pPr>
        <w:pStyle w:val="Ttulo4"/>
        <w:rPr>
          <w:lang w:val="es-CL"/>
        </w:rPr>
      </w:pPr>
      <w:bookmarkStart w:id="4" w:name="X7037e2777b5b7100d8ce6b8006425833384cc39"/>
      <w:r w:rsidRPr="00870BBA">
        <w:rPr>
          <w:lang w:val="es-CL"/>
        </w:rPr>
        <w:t>Creencias y/o motivos de deserción laboral</w:t>
      </w:r>
      <w:bookmarkEnd w:id="4"/>
    </w:p>
    <w:p w14:paraId="5162A7A9" w14:textId="77777777" w:rsidR="00D9754D" w:rsidRDefault="00CE2957">
      <w:pPr>
        <w:pStyle w:val="FirstParagraph"/>
      </w:pPr>
      <w:r>
        <w:rPr>
          <w:noProof/>
          <w:lang w:val="es-CL" w:eastAsia="es-CL"/>
        </w:rPr>
        <w:lastRenderedPageBreak/>
        <w:drawing>
          <wp:inline distT="0" distB="0" distL="0" distR="0" wp14:anchorId="1F66C730" wp14:editId="44F440C6">
            <wp:extent cx="6413627" cy="2931943"/>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Grafico%203-1.png"/>
                    <pic:cNvPicPr>
                      <a:picLocks noChangeAspect="1" noChangeArrowheads="1"/>
                    </pic:cNvPicPr>
                  </pic:nvPicPr>
                  <pic:blipFill>
                    <a:blip r:embed="rId11"/>
                    <a:stretch>
                      <a:fillRect/>
                    </a:stretch>
                  </pic:blipFill>
                  <pic:spPr bwMode="auto">
                    <a:xfrm>
                      <a:off x="0" y="0"/>
                      <a:ext cx="6413627" cy="2931943"/>
                    </a:xfrm>
                    <a:prstGeom prst="rect">
                      <a:avLst/>
                    </a:prstGeom>
                    <a:noFill/>
                    <a:ln w="9525">
                      <a:noFill/>
                      <a:headEnd/>
                      <a:tailEnd/>
                    </a:ln>
                  </pic:spPr>
                </pic:pic>
              </a:graphicData>
            </a:graphic>
          </wp:inline>
        </w:drawing>
      </w:r>
    </w:p>
    <w:p w14:paraId="50C6EA84" w14:textId="362B215D" w:rsidR="00D9754D" w:rsidRDefault="00CE2957" w:rsidP="003C2AF5">
      <w:pPr>
        <w:numPr>
          <w:ilvl w:val="0"/>
          <w:numId w:val="20"/>
        </w:numPr>
        <w:jc w:val="both"/>
        <w:rPr>
          <w:lang w:val="es-CL"/>
        </w:rPr>
      </w:pPr>
      <w:r w:rsidRPr="00870BBA">
        <w:rPr>
          <w:lang w:val="es-CL"/>
        </w:rPr>
        <w:t>Entre las explicaciones detrás de la inactividad</w:t>
      </w:r>
      <w:r w:rsidR="008C6CFB">
        <w:rPr>
          <w:lang w:val="es-CL"/>
        </w:rPr>
        <w:t>, este mes se observa una disminución del 67,6% en la razón de "no encontrará" y una disminución del 38,2% en la razón de "esperar al repunte del mercado". Lo anterior puede indicar que las percepciones más pesimistas del panorama económico están disminuyendo, y se espera que el número de inactivos pueda empezar a disminuir en los siguientes boletines.</w:t>
      </w:r>
    </w:p>
    <w:p w14:paraId="606012CA" w14:textId="39BCF271" w:rsidR="008C6CFB" w:rsidRPr="00870BBA" w:rsidRDefault="008C6CFB" w:rsidP="003C2AF5">
      <w:pPr>
        <w:numPr>
          <w:ilvl w:val="0"/>
          <w:numId w:val="20"/>
        </w:numPr>
        <w:jc w:val="both"/>
        <w:rPr>
          <w:lang w:val="es-CL"/>
        </w:rPr>
      </w:pPr>
      <w:r>
        <w:rPr>
          <w:lang w:val="es-CL"/>
        </w:rPr>
        <w:t>Cabe destacar que la transición de inactividad al mercado laboral puede llevar a un aumento temporal de la tasa de desocupación, pero este aumento se debe a trabajadores que pasan de la inactividad a buscar trabajo.  Por lo tanto, es importante analizar el movimiento de ambos grupos en los próximos meses.</w:t>
      </w:r>
    </w:p>
    <w:p w14:paraId="2B798D4E" w14:textId="77777777" w:rsidR="00D9754D" w:rsidRPr="00870BBA" w:rsidRDefault="00D9754D">
      <w:pPr>
        <w:pStyle w:val="FirstParagraph"/>
        <w:rPr>
          <w:lang w:val="es-CL"/>
        </w:rPr>
      </w:pPr>
    </w:p>
    <w:p w14:paraId="712EC652" w14:textId="77777777" w:rsidR="00D9754D" w:rsidRDefault="00CE2957">
      <w:pPr>
        <w:pStyle w:val="Ttulo4"/>
      </w:pPr>
      <w:bookmarkStart w:id="5" w:name="situación-ocupacional-por-edad"/>
      <w:proofErr w:type="spellStart"/>
      <w:r>
        <w:t>Situación</w:t>
      </w:r>
      <w:proofErr w:type="spellEnd"/>
      <w:r>
        <w:t xml:space="preserve"> </w:t>
      </w:r>
      <w:proofErr w:type="spellStart"/>
      <w:r>
        <w:t>Ocupacional</w:t>
      </w:r>
      <w:proofErr w:type="spellEnd"/>
      <w:r>
        <w:t xml:space="preserve"> Por </w:t>
      </w:r>
      <w:proofErr w:type="spellStart"/>
      <w:r>
        <w:t>Edad</w:t>
      </w:r>
      <w:bookmarkEnd w:id="5"/>
      <w:proofErr w:type="spellEnd"/>
    </w:p>
    <w:tbl>
      <w:tblPr>
        <w:tblW w:w="5000" w:type="pct"/>
        <w:jc w:val="center"/>
        <w:tblLook w:val="0420" w:firstRow="1" w:lastRow="0" w:firstColumn="0" w:lastColumn="0" w:noHBand="0" w:noVBand="1"/>
      </w:tblPr>
      <w:tblGrid>
        <w:gridCol w:w="1645"/>
        <w:gridCol w:w="950"/>
        <w:gridCol w:w="950"/>
        <w:gridCol w:w="1091"/>
        <w:gridCol w:w="1132"/>
        <w:gridCol w:w="950"/>
        <w:gridCol w:w="1091"/>
        <w:gridCol w:w="950"/>
        <w:gridCol w:w="950"/>
        <w:gridCol w:w="1091"/>
      </w:tblGrid>
      <w:tr w:rsidR="00D9754D" w14:paraId="7358ABBC" w14:textId="77777777" w:rsidTr="003C2AF5">
        <w:trPr>
          <w:cantSplit/>
          <w:tblHeader/>
          <w:jc w:val="center"/>
        </w:trPr>
        <w:tc>
          <w:tcPr>
            <w:tcW w:w="761" w:type="pct"/>
            <w:shd w:val="clear" w:color="auto" w:fill="FFFFFF"/>
            <w:tcMar>
              <w:top w:w="0" w:type="dxa"/>
              <w:left w:w="0" w:type="dxa"/>
              <w:bottom w:w="0" w:type="dxa"/>
              <w:right w:w="0" w:type="dxa"/>
            </w:tcMar>
            <w:vAlign w:val="center"/>
          </w:tcPr>
          <w:p w14:paraId="2A7B2197" w14:textId="77777777" w:rsidR="00D9754D" w:rsidRDefault="00CE2957">
            <w:pPr>
              <w:spacing w:after="0"/>
              <w:jc w:val="center"/>
            </w:pPr>
            <w:r>
              <w:rPr>
                <w:rFonts w:ascii="Arial" w:eastAsia="Arial" w:hAnsi="Arial" w:cs="Arial"/>
                <w:b/>
                <w:color w:val="000000"/>
                <w:sz w:val="14"/>
                <w:szCs w:val="14"/>
              </w:rPr>
              <w:t xml:space="preserve"> </w:t>
            </w:r>
          </w:p>
        </w:tc>
        <w:tc>
          <w:tcPr>
            <w:tcW w:w="1385" w:type="pct"/>
            <w:gridSpan w:val="3"/>
            <w:shd w:val="clear" w:color="auto" w:fill="FFFFFF"/>
            <w:tcMar>
              <w:top w:w="0" w:type="dxa"/>
              <w:left w:w="0" w:type="dxa"/>
              <w:bottom w:w="0" w:type="dxa"/>
              <w:right w:w="0" w:type="dxa"/>
            </w:tcMar>
            <w:vAlign w:val="center"/>
          </w:tcPr>
          <w:p w14:paraId="50C4639D" w14:textId="77777777" w:rsidR="00D9754D" w:rsidRDefault="00CE2957">
            <w:pPr>
              <w:spacing w:after="0"/>
              <w:jc w:val="center"/>
            </w:pPr>
            <w:r>
              <w:rPr>
                <w:rFonts w:ascii="Arial" w:eastAsia="Arial" w:hAnsi="Arial" w:cs="Arial"/>
                <w:b/>
                <w:color w:val="000000"/>
                <w:sz w:val="14"/>
                <w:szCs w:val="14"/>
              </w:rPr>
              <w:t>OCUPADOS</w:t>
            </w:r>
          </w:p>
        </w:tc>
        <w:tc>
          <w:tcPr>
            <w:tcW w:w="1469" w:type="pct"/>
            <w:gridSpan w:val="3"/>
            <w:shd w:val="clear" w:color="auto" w:fill="FFFFFF"/>
            <w:tcMar>
              <w:top w:w="0" w:type="dxa"/>
              <w:left w:w="0" w:type="dxa"/>
              <w:bottom w:w="0" w:type="dxa"/>
              <w:right w:w="0" w:type="dxa"/>
            </w:tcMar>
            <w:vAlign w:val="center"/>
          </w:tcPr>
          <w:p w14:paraId="192E5BFF" w14:textId="77777777" w:rsidR="00D9754D" w:rsidRDefault="00CE2957">
            <w:pPr>
              <w:spacing w:after="0"/>
              <w:jc w:val="center"/>
            </w:pPr>
            <w:r>
              <w:rPr>
                <w:rFonts w:ascii="Arial" w:eastAsia="Arial" w:hAnsi="Arial" w:cs="Arial"/>
                <w:b/>
                <w:color w:val="000000"/>
                <w:sz w:val="14"/>
                <w:szCs w:val="14"/>
              </w:rPr>
              <w:t>DESOCUPADOS</w:t>
            </w:r>
          </w:p>
        </w:tc>
        <w:tc>
          <w:tcPr>
            <w:tcW w:w="1385" w:type="pct"/>
            <w:gridSpan w:val="3"/>
            <w:shd w:val="clear" w:color="auto" w:fill="FFFFFF"/>
            <w:tcMar>
              <w:top w:w="0" w:type="dxa"/>
              <w:left w:w="0" w:type="dxa"/>
              <w:bottom w:w="0" w:type="dxa"/>
              <w:right w:w="0" w:type="dxa"/>
            </w:tcMar>
            <w:vAlign w:val="center"/>
          </w:tcPr>
          <w:p w14:paraId="228C16F0" w14:textId="77777777" w:rsidR="00D9754D" w:rsidRDefault="00CE2957">
            <w:pPr>
              <w:spacing w:after="0"/>
              <w:jc w:val="center"/>
            </w:pPr>
            <w:r>
              <w:rPr>
                <w:rFonts w:ascii="Arial" w:eastAsia="Arial" w:hAnsi="Arial" w:cs="Arial"/>
                <w:b/>
                <w:color w:val="000000"/>
                <w:sz w:val="14"/>
                <w:szCs w:val="14"/>
              </w:rPr>
              <w:t>INACTIVOS</w:t>
            </w:r>
          </w:p>
        </w:tc>
      </w:tr>
      <w:tr w:rsidR="00D9754D" w14:paraId="3AD14468" w14:textId="77777777" w:rsidTr="003C2AF5">
        <w:trPr>
          <w:cantSplit/>
          <w:tblHeader/>
          <w:jc w:val="center"/>
        </w:trPr>
        <w:tc>
          <w:tcPr>
            <w:tcW w:w="761" w:type="pct"/>
            <w:shd w:val="clear" w:color="auto" w:fill="00A297"/>
            <w:tcMar>
              <w:top w:w="0" w:type="dxa"/>
              <w:left w:w="0" w:type="dxa"/>
              <w:bottom w:w="0" w:type="dxa"/>
              <w:right w:w="0" w:type="dxa"/>
            </w:tcMar>
            <w:vAlign w:val="center"/>
          </w:tcPr>
          <w:p w14:paraId="2BC12E21" w14:textId="77777777" w:rsidR="00D9754D" w:rsidRDefault="00CE2957">
            <w:pPr>
              <w:spacing w:before="40" w:after="40"/>
              <w:ind w:left="100" w:right="100"/>
            </w:pPr>
            <w:r>
              <w:rPr>
                <w:rFonts w:ascii="Arial" w:eastAsia="Arial" w:hAnsi="Arial" w:cs="Arial"/>
                <w:b/>
                <w:color w:val="FFFFFF"/>
                <w:sz w:val="14"/>
                <w:szCs w:val="14"/>
              </w:rPr>
              <w:t>TRAMO EDAD</w:t>
            </w:r>
          </w:p>
        </w:tc>
        <w:tc>
          <w:tcPr>
            <w:tcW w:w="440" w:type="pct"/>
            <w:shd w:val="clear" w:color="auto" w:fill="00A297"/>
            <w:tcMar>
              <w:top w:w="0" w:type="dxa"/>
              <w:left w:w="0" w:type="dxa"/>
              <w:bottom w:w="0" w:type="dxa"/>
              <w:right w:w="0" w:type="dxa"/>
            </w:tcMar>
            <w:vAlign w:val="center"/>
          </w:tcPr>
          <w:p w14:paraId="2D1371F2" w14:textId="77777777" w:rsidR="00D9754D" w:rsidRDefault="00CE2957">
            <w:pPr>
              <w:spacing w:before="40" w:after="40"/>
              <w:ind w:left="100" w:right="100"/>
              <w:jc w:val="center"/>
            </w:pPr>
            <w:r>
              <w:rPr>
                <w:rFonts w:ascii="Arial" w:eastAsia="Arial" w:hAnsi="Arial" w:cs="Arial"/>
                <w:b/>
                <w:color w:val="FFFFFF"/>
                <w:sz w:val="14"/>
                <w:szCs w:val="14"/>
              </w:rPr>
              <w:t>MJJ-2019</w:t>
            </w:r>
          </w:p>
        </w:tc>
        <w:tc>
          <w:tcPr>
            <w:tcW w:w="440" w:type="pct"/>
            <w:shd w:val="clear" w:color="auto" w:fill="00A297"/>
            <w:tcMar>
              <w:top w:w="0" w:type="dxa"/>
              <w:left w:w="0" w:type="dxa"/>
              <w:bottom w:w="0" w:type="dxa"/>
              <w:right w:w="0" w:type="dxa"/>
            </w:tcMar>
            <w:vAlign w:val="center"/>
          </w:tcPr>
          <w:p w14:paraId="5E070F1A" w14:textId="77777777" w:rsidR="00D9754D" w:rsidRDefault="00CE2957">
            <w:pPr>
              <w:spacing w:before="40" w:after="40"/>
              <w:ind w:left="100" w:right="100"/>
              <w:jc w:val="center"/>
            </w:pPr>
            <w:r>
              <w:rPr>
                <w:rFonts w:ascii="Arial" w:eastAsia="Arial" w:hAnsi="Arial" w:cs="Arial"/>
                <w:b/>
                <w:color w:val="FFFFFF"/>
                <w:sz w:val="14"/>
                <w:szCs w:val="14"/>
              </w:rPr>
              <w:t>MJJ-2020</w:t>
            </w:r>
          </w:p>
        </w:tc>
        <w:tc>
          <w:tcPr>
            <w:tcW w:w="505" w:type="pct"/>
            <w:shd w:val="clear" w:color="auto" w:fill="00A297"/>
            <w:tcMar>
              <w:top w:w="0" w:type="dxa"/>
              <w:left w:w="0" w:type="dxa"/>
              <w:bottom w:w="0" w:type="dxa"/>
              <w:right w:w="0" w:type="dxa"/>
            </w:tcMar>
            <w:vAlign w:val="center"/>
          </w:tcPr>
          <w:p w14:paraId="4FDB4F81" w14:textId="77777777" w:rsidR="00D9754D" w:rsidRDefault="00CE2957">
            <w:pPr>
              <w:spacing w:before="40" w:after="40"/>
              <w:ind w:left="100" w:right="100"/>
              <w:jc w:val="center"/>
            </w:pPr>
            <w:r>
              <w:rPr>
                <w:rFonts w:ascii="Arial" w:eastAsia="Arial" w:hAnsi="Arial" w:cs="Arial"/>
                <w:b/>
                <w:color w:val="FFFFFF"/>
                <w:sz w:val="14"/>
                <w:szCs w:val="14"/>
              </w:rPr>
              <w:t>VARIACIÓN</w:t>
            </w:r>
          </w:p>
        </w:tc>
        <w:tc>
          <w:tcPr>
            <w:tcW w:w="524" w:type="pct"/>
            <w:shd w:val="clear" w:color="auto" w:fill="00A297"/>
            <w:tcMar>
              <w:top w:w="0" w:type="dxa"/>
              <w:left w:w="0" w:type="dxa"/>
              <w:bottom w:w="0" w:type="dxa"/>
              <w:right w:w="0" w:type="dxa"/>
            </w:tcMar>
            <w:vAlign w:val="center"/>
          </w:tcPr>
          <w:p w14:paraId="2B85F9C1" w14:textId="77777777" w:rsidR="00D9754D" w:rsidRDefault="00CE2957">
            <w:pPr>
              <w:spacing w:before="40" w:after="40"/>
              <w:ind w:left="100" w:right="100"/>
              <w:jc w:val="center"/>
            </w:pPr>
            <w:r>
              <w:rPr>
                <w:rFonts w:ascii="Arial" w:eastAsia="Arial" w:hAnsi="Arial" w:cs="Arial"/>
                <w:b/>
                <w:color w:val="FFFFFF"/>
                <w:sz w:val="14"/>
                <w:szCs w:val="14"/>
              </w:rPr>
              <w:t>MJJ-2019</w:t>
            </w:r>
          </w:p>
        </w:tc>
        <w:tc>
          <w:tcPr>
            <w:tcW w:w="440" w:type="pct"/>
            <w:shd w:val="clear" w:color="auto" w:fill="00A297"/>
            <w:tcMar>
              <w:top w:w="0" w:type="dxa"/>
              <w:left w:w="0" w:type="dxa"/>
              <w:bottom w:w="0" w:type="dxa"/>
              <w:right w:w="0" w:type="dxa"/>
            </w:tcMar>
            <w:vAlign w:val="center"/>
          </w:tcPr>
          <w:p w14:paraId="4DCB3E8C" w14:textId="77777777" w:rsidR="00D9754D" w:rsidRDefault="00CE2957">
            <w:pPr>
              <w:spacing w:before="40" w:after="40"/>
              <w:ind w:left="100" w:right="100"/>
              <w:jc w:val="center"/>
            </w:pPr>
            <w:r>
              <w:rPr>
                <w:rFonts w:ascii="Arial" w:eastAsia="Arial" w:hAnsi="Arial" w:cs="Arial"/>
                <w:b/>
                <w:color w:val="FFFFFF"/>
                <w:sz w:val="14"/>
                <w:szCs w:val="14"/>
              </w:rPr>
              <w:t>MJJ-2020</w:t>
            </w:r>
          </w:p>
        </w:tc>
        <w:tc>
          <w:tcPr>
            <w:tcW w:w="505" w:type="pct"/>
            <w:shd w:val="clear" w:color="auto" w:fill="00A297"/>
            <w:tcMar>
              <w:top w:w="0" w:type="dxa"/>
              <w:left w:w="0" w:type="dxa"/>
              <w:bottom w:w="0" w:type="dxa"/>
              <w:right w:w="0" w:type="dxa"/>
            </w:tcMar>
            <w:vAlign w:val="center"/>
          </w:tcPr>
          <w:p w14:paraId="092B6E1C" w14:textId="77777777" w:rsidR="00D9754D" w:rsidRDefault="00CE2957">
            <w:pPr>
              <w:spacing w:before="40" w:after="40"/>
              <w:ind w:left="100" w:right="100"/>
              <w:jc w:val="center"/>
            </w:pPr>
            <w:r>
              <w:rPr>
                <w:rFonts w:ascii="Arial" w:eastAsia="Arial" w:hAnsi="Arial" w:cs="Arial"/>
                <w:b/>
                <w:color w:val="FFFFFF"/>
                <w:sz w:val="14"/>
                <w:szCs w:val="14"/>
              </w:rPr>
              <w:t>VARIACIÓN</w:t>
            </w:r>
          </w:p>
        </w:tc>
        <w:tc>
          <w:tcPr>
            <w:tcW w:w="440" w:type="pct"/>
            <w:shd w:val="clear" w:color="auto" w:fill="00A297"/>
            <w:tcMar>
              <w:top w:w="0" w:type="dxa"/>
              <w:left w:w="0" w:type="dxa"/>
              <w:bottom w:w="0" w:type="dxa"/>
              <w:right w:w="0" w:type="dxa"/>
            </w:tcMar>
            <w:vAlign w:val="center"/>
          </w:tcPr>
          <w:p w14:paraId="622BD534" w14:textId="77777777" w:rsidR="00D9754D" w:rsidRDefault="00CE2957">
            <w:pPr>
              <w:spacing w:before="40" w:after="40"/>
              <w:ind w:left="100" w:right="100"/>
              <w:jc w:val="center"/>
            </w:pPr>
            <w:r>
              <w:rPr>
                <w:rFonts w:ascii="Arial" w:eastAsia="Arial" w:hAnsi="Arial" w:cs="Arial"/>
                <w:b/>
                <w:color w:val="FFFFFF"/>
                <w:sz w:val="14"/>
                <w:szCs w:val="14"/>
              </w:rPr>
              <w:t>MJJ-2019</w:t>
            </w:r>
          </w:p>
        </w:tc>
        <w:tc>
          <w:tcPr>
            <w:tcW w:w="440" w:type="pct"/>
            <w:shd w:val="clear" w:color="auto" w:fill="00A297"/>
            <w:tcMar>
              <w:top w:w="0" w:type="dxa"/>
              <w:left w:w="0" w:type="dxa"/>
              <w:bottom w:w="0" w:type="dxa"/>
              <w:right w:w="0" w:type="dxa"/>
            </w:tcMar>
            <w:vAlign w:val="center"/>
          </w:tcPr>
          <w:p w14:paraId="469F0C19" w14:textId="77777777" w:rsidR="00D9754D" w:rsidRDefault="00CE2957">
            <w:pPr>
              <w:spacing w:before="40" w:after="40"/>
              <w:ind w:left="100" w:right="100"/>
              <w:jc w:val="center"/>
            </w:pPr>
            <w:r>
              <w:rPr>
                <w:rFonts w:ascii="Arial" w:eastAsia="Arial" w:hAnsi="Arial" w:cs="Arial"/>
                <w:b/>
                <w:color w:val="FFFFFF"/>
                <w:sz w:val="14"/>
                <w:szCs w:val="14"/>
              </w:rPr>
              <w:t>MJJ-2020</w:t>
            </w:r>
          </w:p>
        </w:tc>
        <w:tc>
          <w:tcPr>
            <w:tcW w:w="505" w:type="pct"/>
            <w:shd w:val="clear" w:color="auto" w:fill="00A297"/>
            <w:tcMar>
              <w:top w:w="0" w:type="dxa"/>
              <w:left w:w="0" w:type="dxa"/>
              <w:bottom w:w="0" w:type="dxa"/>
              <w:right w:w="0" w:type="dxa"/>
            </w:tcMar>
            <w:vAlign w:val="center"/>
          </w:tcPr>
          <w:p w14:paraId="5E9FFD9C" w14:textId="77777777" w:rsidR="00D9754D" w:rsidRDefault="00CE2957">
            <w:pPr>
              <w:spacing w:before="40" w:after="40"/>
              <w:ind w:left="100" w:right="100"/>
              <w:jc w:val="center"/>
            </w:pPr>
            <w:r>
              <w:rPr>
                <w:rFonts w:ascii="Arial" w:eastAsia="Arial" w:hAnsi="Arial" w:cs="Arial"/>
                <w:b/>
                <w:color w:val="FFFFFF"/>
                <w:sz w:val="14"/>
                <w:szCs w:val="14"/>
              </w:rPr>
              <w:t>VARIACIÓN</w:t>
            </w:r>
          </w:p>
        </w:tc>
      </w:tr>
      <w:tr w:rsidR="00D9754D" w14:paraId="1994DF9D" w14:textId="77777777" w:rsidTr="003C2AF5">
        <w:trPr>
          <w:cantSplit/>
          <w:jc w:val="center"/>
        </w:trPr>
        <w:tc>
          <w:tcPr>
            <w:tcW w:w="761" w:type="pct"/>
            <w:tcBorders>
              <w:right w:val="single" w:sz="8" w:space="0" w:color="D9D9D9"/>
            </w:tcBorders>
            <w:shd w:val="clear" w:color="auto" w:fill="FFFFFF"/>
            <w:tcMar>
              <w:top w:w="0" w:type="dxa"/>
              <w:left w:w="0" w:type="dxa"/>
              <w:bottom w:w="0" w:type="dxa"/>
              <w:right w:w="0" w:type="dxa"/>
            </w:tcMar>
            <w:vAlign w:val="center"/>
          </w:tcPr>
          <w:p w14:paraId="093A117E" w14:textId="77777777" w:rsidR="00D9754D" w:rsidRDefault="00CE2957">
            <w:pPr>
              <w:spacing w:before="40" w:after="40"/>
              <w:ind w:left="100" w:right="100"/>
            </w:pPr>
            <w:r>
              <w:rPr>
                <w:rFonts w:ascii="Arial" w:eastAsia="Arial" w:hAnsi="Arial" w:cs="Arial"/>
                <w:b/>
                <w:color w:val="111111"/>
                <w:sz w:val="14"/>
                <w:szCs w:val="14"/>
              </w:rPr>
              <w:t>15 - 29 AÑOS</w:t>
            </w:r>
          </w:p>
        </w:tc>
        <w:tc>
          <w:tcPr>
            <w:tcW w:w="440" w:type="pct"/>
            <w:tcBorders>
              <w:left w:val="single" w:sz="8" w:space="0" w:color="D9D9D9"/>
            </w:tcBorders>
            <w:shd w:val="clear" w:color="auto" w:fill="FFFFFF"/>
            <w:tcMar>
              <w:top w:w="0" w:type="dxa"/>
              <w:left w:w="0" w:type="dxa"/>
              <w:bottom w:w="0" w:type="dxa"/>
              <w:right w:w="0" w:type="dxa"/>
            </w:tcMar>
            <w:vAlign w:val="center"/>
          </w:tcPr>
          <w:p w14:paraId="13BDBBBC" w14:textId="77777777" w:rsidR="00D9754D" w:rsidRDefault="00CE2957">
            <w:pPr>
              <w:spacing w:before="40" w:after="40"/>
              <w:ind w:left="100" w:right="100"/>
              <w:jc w:val="right"/>
            </w:pPr>
            <w:r>
              <w:rPr>
                <w:rFonts w:ascii="Arial" w:eastAsia="Arial" w:hAnsi="Arial" w:cs="Arial"/>
                <w:color w:val="111111"/>
                <w:sz w:val="14"/>
                <w:szCs w:val="14"/>
              </w:rPr>
              <w:t>810,723</w:t>
            </w:r>
          </w:p>
        </w:tc>
        <w:tc>
          <w:tcPr>
            <w:tcW w:w="440" w:type="pct"/>
            <w:shd w:val="clear" w:color="auto" w:fill="FFFFFF"/>
            <w:tcMar>
              <w:top w:w="0" w:type="dxa"/>
              <w:left w:w="0" w:type="dxa"/>
              <w:bottom w:w="0" w:type="dxa"/>
              <w:right w:w="0" w:type="dxa"/>
            </w:tcMar>
            <w:vAlign w:val="center"/>
          </w:tcPr>
          <w:p w14:paraId="70D7CE2C" w14:textId="77777777" w:rsidR="00D9754D" w:rsidRDefault="00CE2957">
            <w:pPr>
              <w:spacing w:before="40" w:after="40"/>
              <w:ind w:left="100" w:right="100"/>
              <w:jc w:val="right"/>
            </w:pPr>
            <w:r>
              <w:rPr>
                <w:rFonts w:ascii="Arial" w:eastAsia="Arial" w:hAnsi="Arial" w:cs="Arial"/>
                <w:color w:val="111111"/>
                <w:sz w:val="14"/>
                <w:szCs w:val="14"/>
              </w:rPr>
              <w:t>568,709</w:t>
            </w:r>
          </w:p>
        </w:tc>
        <w:tc>
          <w:tcPr>
            <w:tcW w:w="505" w:type="pct"/>
            <w:tcBorders>
              <w:right w:val="single" w:sz="8" w:space="0" w:color="D9D9D9"/>
            </w:tcBorders>
            <w:shd w:val="clear" w:color="auto" w:fill="FFFFFF"/>
            <w:tcMar>
              <w:top w:w="0" w:type="dxa"/>
              <w:left w:w="0" w:type="dxa"/>
              <w:bottom w:w="0" w:type="dxa"/>
              <w:right w:w="0" w:type="dxa"/>
            </w:tcMar>
            <w:vAlign w:val="center"/>
          </w:tcPr>
          <w:p w14:paraId="220D54A3" w14:textId="77777777" w:rsidR="00D9754D" w:rsidRDefault="00CE2957">
            <w:pPr>
              <w:spacing w:before="40" w:after="40"/>
              <w:ind w:left="100" w:right="100"/>
              <w:jc w:val="right"/>
            </w:pPr>
            <w:r>
              <w:rPr>
                <w:rFonts w:ascii="Arial" w:eastAsia="Arial" w:hAnsi="Arial" w:cs="Arial"/>
                <w:color w:val="111111"/>
                <w:sz w:val="14"/>
                <w:szCs w:val="14"/>
              </w:rPr>
              <w:t>-29.9%</w:t>
            </w:r>
          </w:p>
        </w:tc>
        <w:tc>
          <w:tcPr>
            <w:tcW w:w="524" w:type="pct"/>
            <w:tcBorders>
              <w:left w:val="single" w:sz="8" w:space="0" w:color="D9D9D9"/>
            </w:tcBorders>
            <w:shd w:val="clear" w:color="auto" w:fill="FFFFFF"/>
            <w:tcMar>
              <w:top w:w="0" w:type="dxa"/>
              <w:left w:w="0" w:type="dxa"/>
              <w:bottom w:w="0" w:type="dxa"/>
              <w:right w:w="0" w:type="dxa"/>
            </w:tcMar>
            <w:vAlign w:val="center"/>
          </w:tcPr>
          <w:p w14:paraId="7474C55B" w14:textId="77777777" w:rsidR="00D9754D" w:rsidRDefault="00CE2957">
            <w:pPr>
              <w:spacing w:before="40" w:after="40"/>
              <w:ind w:left="100" w:right="100"/>
              <w:jc w:val="right"/>
            </w:pPr>
            <w:r>
              <w:rPr>
                <w:rFonts w:ascii="Arial" w:eastAsia="Arial" w:hAnsi="Arial" w:cs="Arial"/>
                <w:color w:val="111111"/>
                <w:sz w:val="14"/>
                <w:szCs w:val="14"/>
              </w:rPr>
              <w:t>152,030</w:t>
            </w:r>
          </w:p>
        </w:tc>
        <w:tc>
          <w:tcPr>
            <w:tcW w:w="440" w:type="pct"/>
            <w:shd w:val="clear" w:color="auto" w:fill="FFFFFF"/>
            <w:tcMar>
              <w:top w:w="0" w:type="dxa"/>
              <w:left w:w="0" w:type="dxa"/>
              <w:bottom w:w="0" w:type="dxa"/>
              <w:right w:w="0" w:type="dxa"/>
            </w:tcMar>
            <w:vAlign w:val="center"/>
          </w:tcPr>
          <w:p w14:paraId="3EC43396" w14:textId="77777777" w:rsidR="00D9754D" w:rsidRDefault="00CE2957">
            <w:pPr>
              <w:spacing w:before="40" w:after="40"/>
              <w:ind w:left="100" w:right="100"/>
              <w:jc w:val="right"/>
            </w:pPr>
            <w:r>
              <w:rPr>
                <w:rFonts w:ascii="Arial" w:eastAsia="Arial" w:hAnsi="Arial" w:cs="Arial"/>
                <w:color w:val="111111"/>
                <w:sz w:val="14"/>
                <w:szCs w:val="14"/>
              </w:rPr>
              <w:t>184,793</w:t>
            </w:r>
          </w:p>
        </w:tc>
        <w:tc>
          <w:tcPr>
            <w:tcW w:w="505" w:type="pct"/>
            <w:tcBorders>
              <w:right w:val="single" w:sz="8" w:space="0" w:color="D9D9D9"/>
            </w:tcBorders>
            <w:shd w:val="clear" w:color="auto" w:fill="FFFFFF"/>
            <w:tcMar>
              <w:top w:w="0" w:type="dxa"/>
              <w:left w:w="0" w:type="dxa"/>
              <w:bottom w:w="0" w:type="dxa"/>
              <w:right w:w="0" w:type="dxa"/>
            </w:tcMar>
            <w:vAlign w:val="center"/>
          </w:tcPr>
          <w:p w14:paraId="07FBE154" w14:textId="77777777" w:rsidR="00D9754D" w:rsidRDefault="00CE2957">
            <w:pPr>
              <w:spacing w:before="40" w:after="40"/>
              <w:ind w:left="100" w:right="100"/>
              <w:jc w:val="right"/>
            </w:pPr>
            <w:r>
              <w:rPr>
                <w:rFonts w:ascii="Arial" w:eastAsia="Arial" w:hAnsi="Arial" w:cs="Arial"/>
                <w:color w:val="111111"/>
                <w:sz w:val="14"/>
                <w:szCs w:val="14"/>
              </w:rPr>
              <w:t>21.6%</w:t>
            </w:r>
          </w:p>
        </w:tc>
        <w:tc>
          <w:tcPr>
            <w:tcW w:w="440" w:type="pct"/>
            <w:tcBorders>
              <w:left w:val="single" w:sz="8" w:space="0" w:color="D9D9D9"/>
            </w:tcBorders>
            <w:shd w:val="clear" w:color="auto" w:fill="FFFFFF"/>
            <w:tcMar>
              <w:top w:w="0" w:type="dxa"/>
              <w:left w:w="0" w:type="dxa"/>
              <w:bottom w:w="0" w:type="dxa"/>
              <w:right w:w="0" w:type="dxa"/>
            </w:tcMar>
            <w:vAlign w:val="center"/>
          </w:tcPr>
          <w:p w14:paraId="65001334" w14:textId="77777777" w:rsidR="00D9754D" w:rsidRDefault="00CE2957">
            <w:pPr>
              <w:spacing w:before="40" w:after="40"/>
              <w:ind w:left="100" w:right="100"/>
              <w:jc w:val="right"/>
            </w:pPr>
            <w:r>
              <w:rPr>
                <w:rFonts w:ascii="Arial" w:eastAsia="Arial" w:hAnsi="Arial" w:cs="Arial"/>
                <w:color w:val="111111"/>
                <w:sz w:val="14"/>
                <w:szCs w:val="14"/>
              </w:rPr>
              <w:t>913,298</w:t>
            </w:r>
          </w:p>
        </w:tc>
        <w:tc>
          <w:tcPr>
            <w:tcW w:w="440" w:type="pct"/>
            <w:shd w:val="clear" w:color="auto" w:fill="FFFFFF"/>
            <w:tcMar>
              <w:top w:w="0" w:type="dxa"/>
              <w:left w:w="0" w:type="dxa"/>
              <w:bottom w:w="0" w:type="dxa"/>
              <w:right w:w="0" w:type="dxa"/>
            </w:tcMar>
            <w:vAlign w:val="center"/>
          </w:tcPr>
          <w:p w14:paraId="4EED9ADD" w14:textId="77777777" w:rsidR="00D9754D" w:rsidRDefault="00CE2957">
            <w:pPr>
              <w:spacing w:before="40" w:after="40"/>
              <w:ind w:left="100" w:right="100"/>
              <w:jc w:val="right"/>
            </w:pPr>
            <w:r>
              <w:rPr>
                <w:rFonts w:ascii="Arial" w:eastAsia="Arial" w:hAnsi="Arial" w:cs="Arial"/>
                <w:color w:val="111111"/>
                <w:sz w:val="14"/>
                <w:szCs w:val="14"/>
              </w:rPr>
              <w:t>1,103,997</w:t>
            </w:r>
          </w:p>
        </w:tc>
        <w:tc>
          <w:tcPr>
            <w:tcW w:w="505" w:type="pct"/>
            <w:shd w:val="clear" w:color="auto" w:fill="FFFFFF"/>
            <w:tcMar>
              <w:top w:w="0" w:type="dxa"/>
              <w:left w:w="0" w:type="dxa"/>
              <w:bottom w:w="0" w:type="dxa"/>
              <w:right w:w="0" w:type="dxa"/>
            </w:tcMar>
            <w:vAlign w:val="center"/>
          </w:tcPr>
          <w:p w14:paraId="0C5AFC7C" w14:textId="77777777" w:rsidR="00D9754D" w:rsidRDefault="00CE2957">
            <w:pPr>
              <w:spacing w:before="40" w:after="40"/>
              <w:ind w:left="100" w:right="100"/>
              <w:jc w:val="right"/>
            </w:pPr>
            <w:r>
              <w:rPr>
                <w:rFonts w:ascii="Arial" w:eastAsia="Arial" w:hAnsi="Arial" w:cs="Arial"/>
                <w:color w:val="111111"/>
                <w:sz w:val="14"/>
                <w:szCs w:val="14"/>
              </w:rPr>
              <w:t>20.9%</w:t>
            </w:r>
          </w:p>
        </w:tc>
      </w:tr>
      <w:tr w:rsidR="00D9754D" w14:paraId="656855AC" w14:textId="77777777" w:rsidTr="003C2AF5">
        <w:trPr>
          <w:cantSplit/>
          <w:jc w:val="center"/>
        </w:trPr>
        <w:tc>
          <w:tcPr>
            <w:tcW w:w="761" w:type="pct"/>
            <w:tcBorders>
              <w:right w:val="single" w:sz="8" w:space="0" w:color="D9D9D9"/>
            </w:tcBorders>
            <w:shd w:val="clear" w:color="auto" w:fill="F2F2F2"/>
            <w:tcMar>
              <w:top w:w="0" w:type="dxa"/>
              <w:left w:w="0" w:type="dxa"/>
              <w:bottom w:w="0" w:type="dxa"/>
              <w:right w:w="0" w:type="dxa"/>
            </w:tcMar>
            <w:vAlign w:val="center"/>
          </w:tcPr>
          <w:p w14:paraId="7F535735" w14:textId="77777777" w:rsidR="00D9754D" w:rsidRDefault="00CE2957">
            <w:pPr>
              <w:spacing w:before="40" w:after="40"/>
              <w:ind w:left="100" w:right="100"/>
            </w:pPr>
            <w:r>
              <w:rPr>
                <w:rFonts w:ascii="Arial" w:eastAsia="Arial" w:hAnsi="Arial" w:cs="Arial"/>
                <w:b/>
                <w:color w:val="111111"/>
                <w:sz w:val="14"/>
                <w:szCs w:val="14"/>
              </w:rPr>
              <w:t>30 - 44 AÑOS</w:t>
            </w:r>
          </w:p>
        </w:tc>
        <w:tc>
          <w:tcPr>
            <w:tcW w:w="440" w:type="pct"/>
            <w:tcBorders>
              <w:left w:val="single" w:sz="8" w:space="0" w:color="D9D9D9"/>
            </w:tcBorders>
            <w:shd w:val="clear" w:color="auto" w:fill="F2F2F2"/>
            <w:tcMar>
              <w:top w:w="0" w:type="dxa"/>
              <w:left w:w="0" w:type="dxa"/>
              <w:bottom w:w="0" w:type="dxa"/>
              <w:right w:w="0" w:type="dxa"/>
            </w:tcMar>
            <w:vAlign w:val="center"/>
          </w:tcPr>
          <w:p w14:paraId="3B458FE7" w14:textId="77777777" w:rsidR="00D9754D" w:rsidRDefault="00CE2957">
            <w:pPr>
              <w:spacing w:before="40" w:after="40"/>
              <w:ind w:left="100" w:right="100"/>
              <w:jc w:val="right"/>
            </w:pPr>
            <w:r>
              <w:rPr>
                <w:rFonts w:ascii="Arial" w:eastAsia="Arial" w:hAnsi="Arial" w:cs="Arial"/>
                <w:color w:val="111111"/>
                <w:sz w:val="14"/>
                <w:szCs w:val="14"/>
              </w:rPr>
              <w:t>1,479,513</w:t>
            </w:r>
          </w:p>
        </w:tc>
        <w:tc>
          <w:tcPr>
            <w:tcW w:w="440" w:type="pct"/>
            <w:shd w:val="clear" w:color="auto" w:fill="F2F2F2"/>
            <w:tcMar>
              <w:top w:w="0" w:type="dxa"/>
              <w:left w:w="0" w:type="dxa"/>
              <w:bottom w:w="0" w:type="dxa"/>
              <w:right w:w="0" w:type="dxa"/>
            </w:tcMar>
            <w:vAlign w:val="center"/>
          </w:tcPr>
          <w:p w14:paraId="76AE704C" w14:textId="77777777" w:rsidR="00D9754D" w:rsidRDefault="00CE2957">
            <w:pPr>
              <w:spacing w:before="40" w:after="40"/>
              <w:ind w:left="100" w:right="100"/>
              <w:jc w:val="right"/>
            </w:pPr>
            <w:r>
              <w:rPr>
                <w:rFonts w:ascii="Arial" w:eastAsia="Arial" w:hAnsi="Arial" w:cs="Arial"/>
                <w:color w:val="111111"/>
                <w:sz w:val="14"/>
                <w:szCs w:val="14"/>
              </w:rPr>
              <w:t>1,293,300</w:t>
            </w:r>
          </w:p>
        </w:tc>
        <w:tc>
          <w:tcPr>
            <w:tcW w:w="505" w:type="pct"/>
            <w:tcBorders>
              <w:right w:val="single" w:sz="8" w:space="0" w:color="D9D9D9"/>
            </w:tcBorders>
            <w:shd w:val="clear" w:color="auto" w:fill="F2F2F2"/>
            <w:tcMar>
              <w:top w:w="0" w:type="dxa"/>
              <w:left w:w="0" w:type="dxa"/>
              <w:bottom w:w="0" w:type="dxa"/>
              <w:right w:w="0" w:type="dxa"/>
            </w:tcMar>
            <w:vAlign w:val="center"/>
          </w:tcPr>
          <w:p w14:paraId="1D171C95" w14:textId="77777777" w:rsidR="00D9754D" w:rsidRDefault="00CE2957">
            <w:pPr>
              <w:spacing w:before="40" w:after="40"/>
              <w:ind w:left="100" w:right="100"/>
              <w:jc w:val="right"/>
            </w:pPr>
            <w:r>
              <w:rPr>
                <w:rFonts w:ascii="Arial" w:eastAsia="Arial" w:hAnsi="Arial" w:cs="Arial"/>
                <w:color w:val="111111"/>
                <w:sz w:val="14"/>
                <w:szCs w:val="14"/>
              </w:rPr>
              <w:t>-12.6%</w:t>
            </w:r>
          </w:p>
        </w:tc>
        <w:tc>
          <w:tcPr>
            <w:tcW w:w="524" w:type="pct"/>
            <w:tcBorders>
              <w:left w:val="single" w:sz="8" w:space="0" w:color="D9D9D9"/>
            </w:tcBorders>
            <w:shd w:val="clear" w:color="auto" w:fill="F2F2F2"/>
            <w:tcMar>
              <w:top w:w="0" w:type="dxa"/>
              <w:left w:w="0" w:type="dxa"/>
              <w:bottom w:w="0" w:type="dxa"/>
              <w:right w:w="0" w:type="dxa"/>
            </w:tcMar>
            <w:vAlign w:val="center"/>
          </w:tcPr>
          <w:p w14:paraId="1AB0351B" w14:textId="77777777" w:rsidR="00D9754D" w:rsidRDefault="00CE2957">
            <w:pPr>
              <w:spacing w:before="40" w:after="40"/>
              <w:ind w:left="100" w:right="100"/>
              <w:jc w:val="right"/>
            </w:pPr>
            <w:r>
              <w:rPr>
                <w:rFonts w:ascii="Arial" w:eastAsia="Arial" w:hAnsi="Arial" w:cs="Arial"/>
                <w:color w:val="111111"/>
                <w:sz w:val="14"/>
                <w:szCs w:val="14"/>
              </w:rPr>
              <w:t>113,771</w:t>
            </w:r>
          </w:p>
        </w:tc>
        <w:tc>
          <w:tcPr>
            <w:tcW w:w="440" w:type="pct"/>
            <w:shd w:val="clear" w:color="auto" w:fill="F2F2F2"/>
            <w:tcMar>
              <w:top w:w="0" w:type="dxa"/>
              <w:left w:w="0" w:type="dxa"/>
              <w:bottom w:w="0" w:type="dxa"/>
              <w:right w:w="0" w:type="dxa"/>
            </w:tcMar>
            <w:vAlign w:val="center"/>
          </w:tcPr>
          <w:p w14:paraId="74F21064" w14:textId="77777777" w:rsidR="00D9754D" w:rsidRDefault="00CE2957">
            <w:pPr>
              <w:spacing w:before="40" w:after="40"/>
              <w:ind w:left="100" w:right="100"/>
              <w:jc w:val="right"/>
            </w:pPr>
            <w:r>
              <w:rPr>
                <w:rFonts w:ascii="Arial" w:eastAsia="Arial" w:hAnsi="Arial" w:cs="Arial"/>
                <w:color w:val="111111"/>
                <w:sz w:val="14"/>
                <w:szCs w:val="14"/>
              </w:rPr>
              <w:t>189,321</w:t>
            </w:r>
          </w:p>
        </w:tc>
        <w:tc>
          <w:tcPr>
            <w:tcW w:w="505" w:type="pct"/>
            <w:tcBorders>
              <w:right w:val="single" w:sz="8" w:space="0" w:color="D9D9D9"/>
            </w:tcBorders>
            <w:shd w:val="clear" w:color="auto" w:fill="F2F2F2"/>
            <w:tcMar>
              <w:top w:w="0" w:type="dxa"/>
              <w:left w:w="0" w:type="dxa"/>
              <w:bottom w:w="0" w:type="dxa"/>
              <w:right w:w="0" w:type="dxa"/>
            </w:tcMar>
            <w:vAlign w:val="center"/>
          </w:tcPr>
          <w:p w14:paraId="056BC664" w14:textId="77777777" w:rsidR="00D9754D" w:rsidRDefault="00CE2957">
            <w:pPr>
              <w:spacing w:before="40" w:after="40"/>
              <w:ind w:left="100" w:right="100"/>
              <w:jc w:val="right"/>
            </w:pPr>
            <w:r>
              <w:rPr>
                <w:rFonts w:ascii="Arial" w:eastAsia="Arial" w:hAnsi="Arial" w:cs="Arial"/>
                <w:color w:val="111111"/>
                <w:sz w:val="14"/>
                <w:szCs w:val="14"/>
              </w:rPr>
              <w:t>66.4%</w:t>
            </w:r>
          </w:p>
        </w:tc>
        <w:tc>
          <w:tcPr>
            <w:tcW w:w="440" w:type="pct"/>
            <w:tcBorders>
              <w:left w:val="single" w:sz="8" w:space="0" w:color="D9D9D9"/>
            </w:tcBorders>
            <w:shd w:val="clear" w:color="auto" w:fill="F2F2F2"/>
            <w:tcMar>
              <w:top w:w="0" w:type="dxa"/>
              <w:left w:w="0" w:type="dxa"/>
              <w:bottom w:w="0" w:type="dxa"/>
              <w:right w:w="0" w:type="dxa"/>
            </w:tcMar>
            <w:vAlign w:val="center"/>
          </w:tcPr>
          <w:p w14:paraId="12A699C3" w14:textId="77777777" w:rsidR="00D9754D" w:rsidRDefault="00CE2957">
            <w:pPr>
              <w:spacing w:before="40" w:after="40"/>
              <w:ind w:left="100" w:right="100"/>
              <w:jc w:val="right"/>
            </w:pPr>
            <w:r>
              <w:rPr>
                <w:rFonts w:ascii="Arial" w:eastAsia="Arial" w:hAnsi="Arial" w:cs="Arial"/>
                <w:color w:val="111111"/>
                <w:sz w:val="14"/>
                <w:szCs w:val="14"/>
              </w:rPr>
              <w:t>268,629</w:t>
            </w:r>
          </w:p>
        </w:tc>
        <w:tc>
          <w:tcPr>
            <w:tcW w:w="440" w:type="pct"/>
            <w:shd w:val="clear" w:color="auto" w:fill="F2F2F2"/>
            <w:tcMar>
              <w:top w:w="0" w:type="dxa"/>
              <w:left w:w="0" w:type="dxa"/>
              <w:bottom w:w="0" w:type="dxa"/>
              <w:right w:w="0" w:type="dxa"/>
            </w:tcMar>
            <w:vAlign w:val="center"/>
          </w:tcPr>
          <w:p w14:paraId="1C65807E" w14:textId="77777777" w:rsidR="00D9754D" w:rsidRDefault="00CE2957">
            <w:pPr>
              <w:spacing w:before="40" w:after="40"/>
              <w:ind w:left="100" w:right="100"/>
              <w:jc w:val="right"/>
            </w:pPr>
            <w:r>
              <w:rPr>
                <w:rFonts w:ascii="Arial" w:eastAsia="Arial" w:hAnsi="Arial" w:cs="Arial"/>
                <w:color w:val="111111"/>
                <w:sz w:val="14"/>
                <w:szCs w:val="14"/>
              </w:rPr>
              <w:t>506,819</w:t>
            </w:r>
          </w:p>
        </w:tc>
        <w:tc>
          <w:tcPr>
            <w:tcW w:w="505" w:type="pct"/>
            <w:shd w:val="clear" w:color="auto" w:fill="F2F2F2"/>
            <w:tcMar>
              <w:top w:w="0" w:type="dxa"/>
              <w:left w:w="0" w:type="dxa"/>
              <w:bottom w:w="0" w:type="dxa"/>
              <w:right w:w="0" w:type="dxa"/>
            </w:tcMar>
            <w:vAlign w:val="center"/>
          </w:tcPr>
          <w:p w14:paraId="7CFF3384" w14:textId="77777777" w:rsidR="00D9754D" w:rsidRDefault="00CE2957">
            <w:pPr>
              <w:spacing w:before="40" w:after="40"/>
              <w:ind w:left="100" w:right="100"/>
              <w:jc w:val="right"/>
            </w:pPr>
            <w:r>
              <w:rPr>
                <w:rFonts w:ascii="Arial" w:eastAsia="Arial" w:hAnsi="Arial" w:cs="Arial"/>
                <w:color w:val="111111"/>
                <w:sz w:val="14"/>
                <w:szCs w:val="14"/>
              </w:rPr>
              <w:t>88.7%</w:t>
            </w:r>
          </w:p>
        </w:tc>
      </w:tr>
      <w:tr w:rsidR="00D9754D" w14:paraId="68B8B358" w14:textId="77777777" w:rsidTr="003C2AF5">
        <w:trPr>
          <w:cantSplit/>
          <w:jc w:val="center"/>
        </w:trPr>
        <w:tc>
          <w:tcPr>
            <w:tcW w:w="761" w:type="pct"/>
            <w:tcBorders>
              <w:right w:val="single" w:sz="8" w:space="0" w:color="D9D9D9"/>
            </w:tcBorders>
            <w:shd w:val="clear" w:color="auto" w:fill="FFFFFF"/>
            <w:tcMar>
              <w:top w:w="0" w:type="dxa"/>
              <w:left w:w="0" w:type="dxa"/>
              <w:bottom w:w="0" w:type="dxa"/>
              <w:right w:w="0" w:type="dxa"/>
            </w:tcMar>
            <w:vAlign w:val="center"/>
          </w:tcPr>
          <w:p w14:paraId="6EAB9819" w14:textId="77777777" w:rsidR="00D9754D" w:rsidRDefault="00CE2957">
            <w:pPr>
              <w:spacing w:before="40" w:after="40"/>
              <w:ind w:left="100" w:right="100"/>
            </w:pPr>
            <w:r>
              <w:rPr>
                <w:rFonts w:ascii="Arial" w:eastAsia="Arial" w:hAnsi="Arial" w:cs="Arial"/>
                <w:b/>
                <w:color w:val="111111"/>
                <w:sz w:val="14"/>
                <w:szCs w:val="14"/>
              </w:rPr>
              <w:t>45 - 59 AÑOS</w:t>
            </w:r>
          </w:p>
        </w:tc>
        <w:tc>
          <w:tcPr>
            <w:tcW w:w="440" w:type="pct"/>
            <w:tcBorders>
              <w:left w:val="single" w:sz="8" w:space="0" w:color="D9D9D9"/>
            </w:tcBorders>
            <w:shd w:val="clear" w:color="auto" w:fill="FFFFFF"/>
            <w:tcMar>
              <w:top w:w="0" w:type="dxa"/>
              <w:left w:w="0" w:type="dxa"/>
              <w:bottom w:w="0" w:type="dxa"/>
              <w:right w:w="0" w:type="dxa"/>
            </w:tcMar>
            <w:vAlign w:val="center"/>
          </w:tcPr>
          <w:p w14:paraId="47F6F782" w14:textId="77777777" w:rsidR="00D9754D" w:rsidRDefault="00CE2957">
            <w:pPr>
              <w:spacing w:before="40" w:after="40"/>
              <w:ind w:left="100" w:right="100"/>
              <w:jc w:val="right"/>
            </w:pPr>
            <w:r>
              <w:rPr>
                <w:rFonts w:ascii="Arial" w:eastAsia="Arial" w:hAnsi="Arial" w:cs="Arial"/>
                <w:color w:val="111111"/>
                <w:sz w:val="14"/>
                <w:szCs w:val="14"/>
              </w:rPr>
              <w:t>1,106,610</w:t>
            </w:r>
          </w:p>
        </w:tc>
        <w:tc>
          <w:tcPr>
            <w:tcW w:w="440" w:type="pct"/>
            <w:shd w:val="clear" w:color="auto" w:fill="FFFFFF"/>
            <w:tcMar>
              <w:top w:w="0" w:type="dxa"/>
              <w:left w:w="0" w:type="dxa"/>
              <w:bottom w:w="0" w:type="dxa"/>
              <w:right w:w="0" w:type="dxa"/>
            </w:tcMar>
            <w:vAlign w:val="center"/>
          </w:tcPr>
          <w:p w14:paraId="68821CF3" w14:textId="77777777" w:rsidR="00D9754D" w:rsidRDefault="00CE2957">
            <w:pPr>
              <w:spacing w:before="40" w:after="40"/>
              <w:ind w:left="100" w:right="100"/>
              <w:jc w:val="right"/>
            </w:pPr>
            <w:r>
              <w:rPr>
                <w:rFonts w:ascii="Arial" w:eastAsia="Arial" w:hAnsi="Arial" w:cs="Arial"/>
                <w:color w:val="111111"/>
                <w:sz w:val="14"/>
                <w:szCs w:val="14"/>
              </w:rPr>
              <w:t>917,021</w:t>
            </w:r>
          </w:p>
        </w:tc>
        <w:tc>
          <w:tcPr>
            <w:tcW w:w="505" w:type="pct"/>
            <w:tcBorders>
              <w:right w:val="single" w:sz="8" w:space="0" w:color="D9D9D9"/>
            </w:tcBorders>
            <w:shd w:val="clear" w:color="auto" w:fill="FFFFFF"/>
            <w:tcMar>
              <w:top w:w="0" w:type="dxa"/>
              <w:left w:w="0" w:type="dxa"/>
              <w:bottom w:w="0" w:type="dxa"/>
              <w:right w:w="0" w:type="dxa"/>
            </w:tcMar>
            <w:vAlign w:val="center"/>
          </w:tcPr>
          <w:p w14:paraId="629D979A" w14:textId="77777777" w:rsidR="00D9754D" w:rsidRDefault="00CE2957">
            <w:pPr>
              <w:spacing w:before="40" w:after="40"/>
              <w:ind w:left="100" w:right="100"/>
              <w:jc w:val="right"/>
            </w:pPr>
            <w:r>
              <w:rPr>
                <w:rFonts w:ascii="Arial" w:eastAsia="Arial" w:hAnsi="Arial" w:cs="Arial"/>
                <w:color w:val="111111"/>
                <w:sz w:val="14"/>
                <w:szCs w:val="14"/>
              </w:rPr>
              <w:t>-17.1%</w:t>
            </w:r>
          </w:p>
        </w:tc>
        <w:tc>
          <w:tcPr>
            <w:tcW w:w="524" w:type="pct"/>
            <w:tcBorders>
              <w:left w:val="single" w:sz="8" w:space="0" w:color="D9D9D9"/>
            </w:tcBorders>
            <w:shd w:val="clear" w:color="auto" w:fill="FFFFFF"/>
            <w:tcMar>
              <w:top w:w="0" w:type="dxa"/>
              <w:left w:w="0" w:type="dxa"/>
              <w:bottom w:w="0" w:type="dxa"/>
              <w:right w:w="0" w:type="dxa"/>
            </w:tcMar>
            <w:vAlign w:val="center"/>
          </w:tcPr>
          <w:p w14:paraId="52CDDC6A" w14:textId="77777777" w:rsidR="00D9754D" w:rsidRDefault="00CE2957">
            <w:pPr>
              <w:spacing w:before="40" w:after="40"/>
              <w:ind w:left="100" w:right="100"/>
              <w:jc w:val="right"/>
            </w:pPr>
            <w:r>
              <w:rPr>
                <w:rFonts w:ascii="Arial" w:eastAsia="Arial" w:hAnsi="Arial" w:cs="Arial"/>
                <w:color w:val="111111"/>
                <w:sz w:val="14"/>
                <w:szCs w:val="14"/>
              </w:rPr>
              <w:t>51,955</w:t>
            </w:r>
          </w:p>
        </w:tc>
        <w:tc>
          <w:tcPr>
            <w:tcW w:w="440" w:type="pct"/>
            <w:shd w:val="clear" w:color="auto" w:fill="FFFFFF"/>
            <w:tcMar>
              <w:top w:w="0" w:type="dxa"/>
              <w:left w:w="0" w:type="dxa"/>
              <w:bottom w:w="0" w:type="dxa"/>
              <w:right w:w="0" w:type="dxa"/>
            </w:tcMar>
            <w:vAlign w:val="center"/>
          </w:tcPr>
          <w:p w14:paraId="3E8DB6CF" w14:textId="77777777" w:rsidR="00D9754D" w:rsidRDefault="00CE2957">
            <w:pPr>
              <w:spacing w:before="40" w:after="40"/>
              <w:ind w:left="100" w:right="100"/>
              <w:jc w:val="right"/>
            </w:pPr>
            <w:r>
              <w:rPr>
                <w:rFonts w:ascii="Arial" w:eastAsia="Arial" w:hAnsi="Arial" w:cs="Arial"/>
                <w:color w:val="111111"/>
                <w:sz w:val="14"/>
                <w:szCs w:val="14"/>
              </w:rPr>
              <w:t>89,041</w:t>
            </w:r>
          </w:p>
        </w:tc>
        <w:tc>
          <w:tcPr>
            <w:tcW w:w="505" w:type="pct"/>
            <w:tcBorders>
              <w:right w:val="single" w:sz="8" w:space="0" w:color="D9D9D9"/>
            </w:tcBorders>
            <w:shd w:val="clear" w:color="auto" w:fill="FFFFFF"/>
            <w:tcMar>
              <w:top w:w="0" w:type="dxa"/>
              <w:left w:w="0" w:type="dxa"/>
              <w:bottom w:w="0" w:type="dxa"/>
              <w:right w:w="0" w:type="dxa"/>
            </w:tcMar>
            <w:vAlign w:val="center"/>
          </w:tcPr>
          <w:p w14:paraId="5DAAF70B" w14:textId="77777777" w:rsidR="00D9754D" w:rsidRDefault="00CE2957">
            <w:pPr>
              <w:spacing w:before="40" w:after="40"/>
              <w:ind w:left="100" w:right="100"/>
              <w:jc w:val="right"/>
            </w:pPr>
            <w:r>
              <w:rPr>
                <w:rFonts w:ascii="Arial" w:eastAsia="Arial" w:hAnsi="Arial" w:cs="Arial"/>
                <w:color w:val="111111"/>
                <w:sz w:val="14"/>
                <w:szCs w:val="14"/>
              </w:rPr>
              <w:t>71.4%</w:t>
            </w:r>
          </w:p>
        </w:tc>
        <w:tc>
          <w:tcPr>
            <w:tcW w:w="440" w:type="pct"/>
            <w:tcBorders>
              <w:left w:val="single" w:sz="8" w:space="0" w:color="D9D9D9"/>
            </w:tcBorders>
            <w:shd w:val="clear" w:color="auto" w:fill="FFFFFF"/>
            <w:tcMar>
              <w:top w:w="0" w:type="dxa"/>
              <w:left w:w="0" w:type="dxa"/>
              <w:bottom w:w="0" w:type="dxa"/>
              <w:right w:w="0" w:type="dxa"/>
            </w:tcMar>
            <w:vAlign w:val="center"/>
          </w:tcPr>
          <w:p w14:paraId="02D444A8" w14:textId="77777777" w:rsidR="00D9754D" w:rsidRDefault="00CE2957">
            <w:pPr>
              <w:spacing w:before="40" w:after="40"/>
              <w:ind w:left="100" w:right="100"/>
              <w:jc w:val="right"/>
            </w:pPr>
            <w:r>
              <w:rPr>
                <w:rFonts w:ascii="Arial" w:eastAsia="Arial" w:hAnsi="Arial" w:cs="Arial"/>
                <w:color w:val="111111"/>
                <w:sz w:val="14"/>
                <w:szCs w:val="14"/>
              </w:rPr>
              <w:t>260,863</w:t>
            </w:r>
          </w:p>
        </w:tc>
        <w:tc>
          <w:tcPr>
            <w:tcW w:w="440" w:type="pct"/>
            <w:shd w:val="clear" w:color="auto" w:fill="FFFFFF"/>
            <w:tcMar>
              <w:top w:w="0" w:type="dxa"/>
              <w:left w:w="0" w:type="dxa"/>
              <w:bottom w:w="0" w:type="dxa"/>
              <w:right w:w="0" w:type="dxa"/>
            </w:tcMar>
            <w:vAlign w:val="center"/>
          </w:tcPr>
          <w:p w14:paraId="245A8479" w14:textId="77777777" w:rsidR="00D9754D" w:rsidRDefault="00CE2957">
            <w:pPr>
              <w:spacing w:before="40" w:after="40"/>
              <w:ind w:left="100" w:right="100"/>
              <w:jc w:val="right"/>
            </w:pPr>
            <w:r>
              <w:rPr>
                <w:rFonts w:ascii="Arial" w:eastAsia="Arial" w:hAnsi="Arial" w:cs="Arial"/>
                <w:color w:val="111111"/>
                <w:sz w:val="14"/>
                <w:szCs w:val="14"/>
              </w:rPr>
              <w:t>448,469</w:t>
            </w:r>
          </w:p>
        </w:tc>
        <w:tc>
          <w:tcPr>
            <w:tcW w:w="505" w:type="pct"/>
            <w:shd w:val="clear" w:color="auto" w:fill="FFFFFF"/>
            <w:tcMar>
              <w:top w:w="0" w:type="dxa"/>
              <w:left w:w="0" w:type="dxa"/>
              <w:bottom w:w="0" w:type="dxa"/>
              <w:right w:w="0" w:type="dxa"/>
            </w:tcMar>
            <w:vAlign w:val="center"/>
          </w:tcPr>
          <w:p w14:paraId="3F98EC94" w14:textId="77777777" w:rsidR="00D9754D" w:rsidRDefault="00CE2957">
            <w:pPr>
              <w:spacing w:before="40" w:after="40"/>
              <w:ind w:left="100" w:right="100"/>
              <w:jc w:val="right"/>
            </w:pPr>
            <w:r>
              <w:rPr>
                <w:rFonts w:ascii="Arial" w:eastAsia="Arial" w:hAnsi="Arial" w:cs="Arial"/>
                <w:color w:val="111111"/>
                <w:sz w:val="14"/>
                <w:szCs w:val="14"/>
              </w:rPr>
              <w:t>71.9%</w:t>
            </w:r>
          </w:p>
        </w:tc>
      </w:tr>
      <w:tr w:rsidR="00D9754D" w14:paraId="2BD5D7B9" w14:textId="77777777" w:rsidTr="003C2AF5">
        <w:trPr>
          <w:cantSplit/>
          <w:jc w:val="center"/>
        </w:trPr>
        <w:tc>
          <w:tcPr>
            <w:tcW w:w="761" w:type="pct"/>
            <w:tcBorders>
              <w:right w:val="single" w:sz="8" w:space="0" w:color="D9D9D9"/>
            </w:tcBorders>
            <w:shd w:val="clear" w:color="auto" w:fill="F2F2F2"/>
            <w:tcMar>
              <w:top w:w="0" w:type="dxa"/>
              <w:left w:w="0" w:type="dxa"/>
              <w:bottom w:w="0" w:type="dxa"/>
              <w:right w:w="0" w:type="dxa"/>
            </w:tcMar>
            <w:vAlign w:val="center"/>
          </w:tcPr>
          <w:p w14:paraId="10C51F0C" w14:textId="77777777" w:rsidR="00D9754D" w:rsidRDefault="00CE2957">
            <w:pPr>
              <w:spacing w:before="40" w:after="40"/>
              <w:ind w:left="100" w:right="100"/>
            </w:pPr>
            <w:r>
              <w:rPr>
                <w:rFonts w:ascii="Arial" w:eastAsia="Arial" w:hAnsi="Arial" w:cs="Arial"/>
                <w:b/>
                <w:color w:val="111111"/>
                <w:sz w:val="14"/>
                <w:szCs w:val="14"/>
              </w:rPr>
              <w:t>60 O MÁS AÑOS</w:t>
            </w:r>
          </w:p>
        </w:tc>
        <w:tc>
          <w:tcPr>
            <w:tcW w:w="440" w:type="pct"/>
            <w:tcBorders>
              <w:left w:val="single" w:sz="8" w:space="0" w:color="D9D9D9"/>
            </w:tcBorders>
            <w:shd w:val="clear" w:color="auto" w:fill="F2F2F2"/>
            <w:tcMar>
              <w:top w:w="0" w:type="dxa"/>
              <w:left w:w="0" w:type="dxa"/>
              <w:bottom w:w="0" w:type="dxa"/>
              <w:right w:w="0" w:type="dxa"/>
            </w:tcMar>
            <w:vAlign w:val="center"/>
          </w:tcPr>
          <w:p w14:paraId="7544CE4C" w14:textId="77777777" w:rsidR="00D9754D" w:rsidRDefault="00CE2957">
            <w:pPr>
              <w:spacing w:before="40" w:after="40"/>
              <w:ind w:left="100" w:right="100"/>
              <w:jc w:val="right"/>
            </w:pPr>
            <w:r>
              <w:rPr>
                <w:rFonts w:ascii="Arial" w:eastAsia="Arial" w:hAnsi="Arial" w:cs="Arial"/>
                <w:color w:val="111111"/>
                <w:sz w:val="14"/>
                <w:szCs w:val="14"/>
              </w:rPr>
              <w:t>485,506</w:t>
            </w:r>
          </w:p>
        </w:tc>
        <w:tc>
          <w:tcPr>
            <w:tcW w:w="440" w:type="pct"/>
            <w:shd w:val="clear" w:color="auto" w:fill="F2F2F2"/>
            <w:tcMar>
              <w:top w:w="0" w:type="dxa"/>
              <w:left w:w="0" w:type="dxa"/>
              <w:bottom w:w="0" w:type="dxa"/>
              <w:right w:w="0" w:type="dxa"/>
            </w:tcMar>
            <w:vAlign w:val="center"/>
          </w:tcPr>
          <w:p w14:paraId="6BAB29A0" w14:textId="77777777" w:rsidR="00D9754D" w:rsidRDefault="00CE2957">
            <w:pPr>
              <w:spacing w:before="40" w:after="40"/>
              <w:ind w:left="100" w:right="100"/>
              <w:jc w:val="right"/>
            </w:pPr>
            <w:r>
              <w:rPr>
                <w:rFonts w:ascii="Arial" w:eastAsia="Arial" w:hAnsi="Arial" w:cs="Arial"/>
                <w:color w:val="111111"/>
                <w:sz w:val="14"/>
                <w:szCs w:val="14"/>
              </w:rPr>
              <w:t>329,979</w:t>
            </w:r>
          </w:p>
        </w:tc>
        <w:tc>
          <w:tcPr>
            <w:tcW w:w="505" w:type="pct"/>
            <w:tcBorders>
              <w:right w:val="single" w:sz="8" w:space="0" w:color="D9D9D9"/>
            </w:tcBorders>
            <w:shd w:val="clear" w:color="auto" w:fill="F2F2F2"/>
            <w:tcMar>
              <w:top w:w="0" w:type="dxa"/>
              <w:left w:w="0" w:type="dxa"/>
              <w:bottom w:w="0" w:type="dxa"/>
              <w:right w:w="0" w:type="dxa"/>
            </w:tcMar>
            <w:vAlign w:val="center"/>
          </w:tcPr>
          <w:p w14:paraId="2068CE3F" w14:textId="77777777" w:rsidR="00D9754D" w:rsidRDefault="00CE2957">
            <w:pPr>
              <w:spacing w:before="40" w:after="40"/>
              <w:ind w:left="100" w:right="100"/>
              <w:jc w:val="right"/>
            </w:pPr>
            <w:r>
              <w:rPr>
                <w:rFonts w:ascii="Arial" w:eastAsia="Arial" w:hAnsi="Arial" w:cs="Arial"/>
                <w:color w:val="111111"/>
                <w:sz w:val="14"/>
                <w:szCs w:val="14"/>
              </w:rPr>
              <w:t xml:space="preserve">  -32%</w:t>
            </w:r>
          </w:p>
        </w:tc>
        <w:tc>
          <w:tcPr>
            <w:tcW w:w="524" w:type="pct"/>
            <w:tcBorders>
              <w:left w:val="single" w:sz="8" w:space="0" w:color="D9D9D9"/>
            </w:tcBorders>
            <w:shd w:val="clear" w:color="auto" w:fill="F2F2F2"/>
            <w:tcMar>
              <w:top w:w="0" w:type="dxa"/>
              <w:left w:w="0" w:type="dxa"/>
              <w:bottom w:w="0" w:type="dxa"/>
              <w:right w:w="0" w:type="dxa"/>
            </w:tcMar>
            <w:vAlign w:val="center"/>
          </w:tcPr>
          <w:p w14:paraId="6FBD08BF" w14:textId="77777777" w:rsidR="00D9754D" w:rsidRDefault="00CE2957">
            <w:pPr>
              <w:spacing w:before="40" w:after="40"/>
              <w:ind w:left="100" w:right="100"/>
              <w:jc w:val="right"/>
            </w:pPr>
            <w:r>
              <w:rPr>
                <w:rFonts w:ascii="Arial" w:eastAsia="Arial" w:hAnsi="Arial" w:cs="Arial"/>
                <w:color w:val="111111"/>
                <w:sz w:val="14"/>
                <w:szCs w:val="14"/>
              </w:rPr>
              <w:t>16,061</w:t>
            </w:r>
          </w:p>
        </w:tc>
        <w:tc>
          <w:tcPr>
            <w:tcW w:w="440" w:type="pct"/>
            <w:shd w:val="clear" w:color="auto" w:fill="F2F2F2"/>
            <w:tcMar>
              <w:top w:w="0" w:type="dxa"/>
              <w:left w:w="0" w:type="dxa"/>
              <w:bottom w:w="0" w:type="dxa"/>
              <w:right w:w="0" w:type="dxa"/>
            </w:tcMar>
            <w:vAlign w:val="center"/>
          </w:tcPr>
          <w:p w14:paraId="42057AA0" w14:textId="77777777" w:rsidR="00D9754D" w:rsidRDefault="00CE2957">
            <w:pPr>
              <w:spacing w:before="40" w:after="40"/>
              <w:ind w:left="100" w:right="100"/>
              <w:jc w:val="right"/>
            </w:pPr>
            <w:r>
              <w:rPr>
                <w:rFonts w:ascii="Arial" w:eastAsia="Arial" w:hAnsi="Arial" w:cs="Arial"/>
                <w:color w:val="111111"/>
                <w:sz w:val="14"/>
                <w:szCs w:val="14"/>
              </w:rPr>
              <w:t>22,922</w:t>
            </w:r>
          </w:p>
        </w:tc>
        <w:tc>
          <w:tcPr>
            <w:tcW w:w="505" w:type="pct"/>
            <w:tcBorders>
              <w:right w:val="single" w:sz="8" w:space="0" w:color="D9D9D9"/>
            </w:tcBorders>
            <w:shd w:val="clear" w:color="auto" w:fill="F2F2F2"/>
            <w:tcMar>
              <w:top w:w="0" w:type="dxa"/>
              <w:left w:w="0" w:type="dxa"/>
              <w:bottom w:w="0" w:type="dxa"/>
              <w:right w:w="0" w:type="dxa"/>
            </w:tcMar>
            <w:vAlign w:val="center"/>
          </w:tcPr>
          <w:p w14:paraId="673E340C" w14:textId="77777777" w:rsidR="00D9754D" w:rsidRDefault="00CE2957">
            <w:pPr>
              <w:spacing w:before="40" w:after="40"/>
              <w:ind w:left="100" w:right="100"/>
              <w:jc w:val="right"/>
            </w:pPr>
            <w:r>
              <w:rPr>
                <w:rFonts w:ascii="Arial" w:eastAsia="Arial" w:hAnsi="Arial" w:cs="Arial"/>
                <w:color w:val="111111"/>
                <w:sz w:val="14"/>
                <w:szCs w:val="14"/>
              </w:rPr>
              <w:t>42.7%</w:t>
            </w:r>
          </w:p>
        </w:tc>
        <w:tc>
          <w:tcPr>
            <w:tcW w:w="440" w:type="pct"/>
            <w:tcBorders>
              <w:left w:val="single" w:sz="8" w:space="0" w:color="D9D9D9"/>
            </w:tcBorders>
            <w:shd w:val="clear" w:color="auto" w:fill="F2F2F2"/>
            <w:tcMar>
              <w:top w:w="0" w:type="dxa"/>
              <w:left w:w="0" w:type="dxa"/>
              <w:bottom w:w="0" w:type="dxa"/>
              <w:right w:w="0" w:type="dxa"/>
            </w:tcMar>
            <w:vAlign w:val="center"/>
          </w:tcPr>
          <w:p w14:paraId="585FAE16" w14:textId="77777777" w:rsidR="00D9754D" w:rsidRDefault="00CE2957">
            <w:pPr>
              <w:spacing w:before="40" w:after="40"/>
              <w:ind w:left="100" w:right="100"/>
              <w:jc w:val="right"/>
            </w:pPr>
            <w:r>
              <w:rPr>
                <w:rFonts w:ascii="Arial" w:eastAsia="Arial" w:hAnsi="Arial" w:cs="Arial"/>
                <w:color w:val="111111"/>
                <w:sz w:val="14"/>
                <w:szCs w:val="14"/>
              </w:rPr>
              <w:t>758,838</w:t>
            </w:r>
          </w:p>
        </w:tc>
        <w:tc>
          <w:tcPr>
            <w:tcW w:w="440" w:type="pct"/>
            <w:shd w:val="clear" w:color="auto" w:fill="F2F2F2"/>
            <w:tcMar>
              <w:top w:w="0" w:type="dxa"/>
              <w:left w:w="0" w:type="dxa"/>
              <w:bottom w:w="0" w:type="dxa"/>
              <w:right w:w="0" w:type="dxa"/>
            </w:tcMar>
            <w:vAlign w:val="center"/>
          </w:tcPr>
          <w:p w14:paraId="69A67A40" w14:textId="77777777" w:rsidR="00D9754D" w:rsidRDefault="00CE2957">
            <w:pPr>
              <w:spacing w:before="40" w:after="40"/>
              <w:ind w:left="100" w:right="100"/>
              <w:jc w:val="right"/>
            </w:pPr>
            <w:r>
              <w:rPr>
                <w:rFonts w:ascii="Arial" w:eastAsia="Arial" w:hAnsi="Arial" w:cs="Arial"/>
                <w:color w:val="111111"/>
                <w:sz w:val="14"/>
                <w:szCs w:val="14"/>
              </w:rPr>
              <w:t>950,744</w:t>
            </w:r>
          </w:p>
        </w:tc>
        <w:tc>
          <w:tcPr>
            <w:tcW w:w="505" w:type="pct"/>
            <w:shd w:val="clear" w:color="auto" w:fill="F2F2F2"/>
            <w:tcMar>
              <w:top w:w="0" w:type="dxa"/>
              <w:left w:w="0" w:type="dxa"/>
              <w:bottom w:w="0" w:type="dxa"/>
              <w:right w:w="0" w:type="dxa"/>
            </w:tcMar>
            <w:vAlign w:val="center"/>
          </w:tcPr>
          <w:p w14:paraId="32ACD78C" w14:textId="77777777" w:rsidR="00D9754D" w:rsidRDefault="00CE2957">
            <w:pPr>
              <w:spacing w:before="40" w:after="40"/>
              <w:ind w:left="100" w:right="100"/>
              <w:jc w:val="right"/>
            </w:pPr>
            <w:r>
              <w:rPr>
                <w:rFonts w:ascii="Arial" w:eastAsia="Arial" w:hAnsi="Arial" w:cs="Arial"/>
                <w:color w:val="111111"/>
                <w:sz w:val="14"/>
                <w:szCs w:val="14"/>
              </w:rPr>
              <w:t>25.3%</w:t>
            </w:r>
          </w:p>
        </w:tc>
      </w:tr>
    </w:tbl>
    <w:p w14:paraId="45C1A115" w14:textId="77777777" w:rsidR="00D9754D" w:rsidRDefault="00D9754D" w:rsidP="003C2AF5">
      <w:pPr>
        <w:pStyle w:val="FirstParagraph"/>
        <w:jc w:val="both"/>
      </w:pPr>
    </w:p>
    <w:p w14:paraId="304D8A68" w14:textId="4E8DF867" w:rsidR="00D9754D" w:rsidRPr="00870BBA" w:rsidRDefault="006C5D48" w:rsidP="003C2AF5">
      <w:pPr>
        <w:numPr>
          <w:ilvl w:val="0"/>
          <w:numId w:val="21"/>
        </w:numPr>
        <w:jc w:val="both"/>
        <w:rPr>
          <w:lang w:val="es-CL"/>
        </w:rPr>
      </w:pPr>
      <w:r>
        <w:rPr>
          <w:lang w:val="es-CL"/>
        </w:rPr>
        <w:t>Al comparar con igual trimestre del año anterior, s</w:t>
      </w:r>
      <w:r w:rsidR="00CE2957" w:rsidRPr="00870BBA">
        <w:rPr>
          <w:lang w:val="es-CL"/>
        </w:rPr>
        <w:t xml:space="preserve">e puede observar que el tramo de edad que tuvo una mayor variación negativa de ocupados es de 60 años o más, similarmente a lo observado en </w:t>
      </w:r>
      <w:r w:rsidR="008C6CFB">
        <w:rPr>
          <w:lang w:val="es-CL"/>
        </w:rPr>
        <w:t>los</w:t>
      </w:r>
      <w:r w:rsidR="00CE2957" w:rsidRPr="00870BBA">
        <w:rPr>
          <w:lang w:val="es-CL"/>
        </w:rPr>
        <w:t xml:space="preserve"> bolet</w:t>
      </w:r>
      <w:r w:rsidR="008C6CFB">
        <w:rPr>
          <w:lang w:val="es-CL"/>
        </w:rPr>
        <w:t>i</w:t>
      </w:r>
      <w:r w:rsidR="00CE2957" w:rsidRPr="00870BBA">
        <w:rPr>
          <w:lang w:val="es-CL"/>
        </w:rPr>
        <w:t>n</w:t>
      </w:r>
      <w:r w:rsidR="008C6CFB">
        <w:rPr>
          <w:lang w:val="es-CL"/>
        </w:rPr>
        <w:t>es</w:t>
      </w:r>
      <w:r w:rsidR="00CE2957" w:rsidRPr="00870BBA">
        <w:rPr>
          <w:lang w:val="es-CL"/>
        </w:rPr>
        <w:t xml:space="preserve"> pasado</w:t>
      </w:r>
      <w:r w:rsidR="008C6CFB">
        <w:rPr>
          <w:lang w:val="es-CL"/>
        </w:rPr>
        <w:t>s</w:t>
      </w:r>
      <w:r w:rsidR="00CE2957" w:rsidRPr="00870BBA">
        <w:rPr>
          <w:lang w:val="es-CL"/>
        </w:rPr>
        <w:t>, siendo 1</w:t>
      </w:r>
      <w:r w:rsidR="008C6CFB">
        <w:rPr>
          <w:lang w:val="es-CL"/>
        </w:rPr>
        <w:t>55</w:t>
      </w:r>
      <w:r w:rsidR="00CE2957" w:rsidRPr="00870BBA">
        <w:rPr>
          <w:lang w:val="es-CL"/>
        </w:rPr>
        <w:t>.</w:t>
      </w:r>
      <w:r w:rsidR="008C6CFB">
        <w:rPr>
          <w:lang w:val="es-CL"/>
        </w:rPr>
        <w:t>527</w:t>
      </w:r>
      <w:r w:rsidR="00CE2957" w:rsidRPr="00870BBA">
        <w:rPr>
          <w:lang w:val="es-CL"/>
        </w:rPr>
        <w:t xml:space="preserve"> personas que perdieron su empleo. Pero el tramo de edad que disminuyó más en la cantidad de personas de un año a otro es el de </w:t>
      </w:r>
      <w:r w:rsidR="008C6CFB">
        <w:rPr>
          <w:lang w:val="es-CL"/>
        </w:rPr>
        <w:t>15</w:t>
      </w:r>
      <w:r w:rsidR="00CE2957" w:rsidRPr="00870BBA">
        <w:rPr>
          <w:lang w:val="es-CL"/>
        </w:rPr>
        <w:t xml:space="preserve"> a </w:t>
      </w:r>
      <w:r w:rsidR="008C6CFB">
        <w:rPr>
          <w:lang w:val="es-CL"/>
        </w:rPr>
        <w:t>29</w:t>
      </w:r>
      <w:r w:rsidR="00CE2957" w:rsidRPr="00870BBA">
        <w:rPr>
          <w:lang w:val="es-CL"/>
        </w:rPr>
        <w:t xml:space="preserve"> años con 2</w:t>
      </w:r>
      <w:r w:rsidR="008C6CFB">
        <w:rPr>
          <w:lang w:val="es-CL"/>
        </w:rPr>
        <w:t>42</w:t>
      </w:r>
      <w:r w:rsidR="00CE2957" w:rsidRPr="00870BBA">
        <w:rPr>
          <w:lang w:val="es-CL"/>
        </w:rPr>
        <w:t>.</w:t>
      </w:r>
      <w:r w:rsidR="008C6CFB">
        <w:rPr>
          <w:lang w:val="es-CL"/>
        </w:rPr>
        <w:t>014</w:t>
      </w:r>
      <w:r w:rsidR="00CE2957" w:rsidRPr="00870BBA">
        <w:rPr>
          <w:lang w:val="es-CL"/>
        </w:rPr>
        <w:t xml:space="preserve"> personas menos</w:t>
      </w:r>
      <w:r w:rsidR="008C6CFB">
        <w:rPr>
          <w:lang w:val="es-CL"/>
        </w:rPr>
        <w:t xml:space="preserve">. </w:t>
      </w:r>
    </w:p>
    <w:p w14:paraId="29C38136" w14:textId="377F6E5F" w:rsidR="00D9754D" w:rsidRPr="00870BBA" w:rsidRDefault="002869EC" w:rsidP="003C2AF5">
      <w:pPr>
        <w:numPr>
          <w:ilvl w:val="0"/>
          <w:numId w:val="21"/>
        </w:numPr>
        <w:jc w:val="both"/>
        <w:rPr>
          <w:lang w:val="es-CL"/>
        </w:rPr>
      </w:pPr>
      <w:r>
        <w:rPr>
          <w:lang w:val="es-CL"/>
        </w:rPr>
        <w:t>S</w:t>
      </w:r>
      <w:r w:rsidR="00CE2957" w:rsidRPr="00870BBA">
        <w:rPr>
          <w:lang w:val="es-CL"/>
        </w:rPr>
        <w:t xml:space="preserve">e puede apreciar un aumento en los inactivos en todas las edades, pero con </w:t>
      </w:r>
      <w:r w:rsidR="008C6CFB">
        <w:rPr>
          <w:lang w:val="es-CL"/>
        </w:rPr>
        <w:t>un incremento menor que en el boletín pasado para el grupo de 30 a 44 años. Los otros grupos muestran aumentos relativamente similares a los del boletín pasado</w:t>
      </w:r>
      <w:r w:rsidR="00CE2957" w:rsidRPr="00870BBA">
        <w:rPr>
          <w:lang w:val="es-CL"/>
        </w:rPr>
        <w:t>. En términos de cantidad, e</w:t>
      </w:r>
      <w:r w:rsidR="007A4177">
        <w:rPr>
          <w:lang w:val="es-CL"/>
        </w:rPr>
        <w:t>l</w:t>
      </w:r>
      <w:r w:rsidR="00CE2957" w:rsidRPr="00870BBA">
        <w:rPr>
          <w:lang w:val="es-CL"/>
        </w:rPr>
        <w:t xml:space="preserve"> grupo</w:t>
      </w:r>
      <w:r w:rsidR="007A4177">
        <w:rPr>
          <w:lang w:val="es-CL"/>
        </w:rPr>
        <w:t xml:space="preserve"> de 30 a 44 años</w:t>
      </w:r>
      <w:r w:rsidR="00CE2957" w:rsidRPr="00870BBA">
        <w:rPr>
          <w:lang w:val="es-CL"/>
        </w:rPr>
        <w:t xml:space="preserve"> vio el aumento más grande con 2</w:t>
      </w:r>
      <w:r w:rsidR="007A4177">
        <w:rPr>
          <w:lang w:val="es-CL"/>
        </w:rPr>
        <w:t>38</w:t>
      </w:r>
      <w:r w:rsidR="00CE2957" w:rsidRPr="00870BBA">
        <w:rPr>
          <w:lang w:val="es-CL"/>
        </w:rPr>
        <w:t>.</w:t>
      </w:r>
      <w:r w:rsidR="007A4177">
        <w:rPr>
          <w:lang w:val="es-CL"/>
        </w:rPr>
        <w:t>190</w:t>
      </w:r>
      <w:r w:rsidR="00CE2957" w:rsidRPr="00870BBA">
        <w:rPr>
          <w:lang w:val="es-CL"/>
        </w:rPr>
        <w:t xml:space="preserve"> más personas inactivas. Sin embargo, en todos los grupos etarios se observan aumentos </w:t>
      </w:r>
      <w:r w:rsidR="007A4177">
        <w:rPr>
          <w:lang w:val="es-CL"/>
        </w:rPr>
        <w:t>cercanos a 190</w:t>
      </w:r>
      <w:r w:rsidR="00CE2957" w:rsidRPr="00870BBA">
        <w:rPr>
          <w:lang w:val="es-CL"/>
        </w:rPr>
        <w:t xml:space="preserve"> mil más inactivos en cada grupo, con respecto al mismo trimestre del año anterior.</w:t>
      </w:r>
    </w:p>
    <w:p w14:paraId="4C40CEC1" w14:textId="78FFC26D" w:rsidR="00D9754D" w:rsidRPr="00870BBA" w:rsidRDefault="00CE2957">
      <w:pPr>
        <w:numPr>
          <w:ilvl w:val="0"/>
          <w:numId w:val="21"/>
        </w:numPr>
        <w:rPr>
          <w:lang w:val="es-CL"/>
        </w:rPr>
      </w:pPr>
      <w:r w:rsidRPr="00870BBA">
        <w:rPr>
          <w:lang w:val="es-CL"/>
        </w:rPr>
        <w:t xml:space="preserve">Con respecto a la variación en el número de desocupados, se observa un incremento significativamente mayor para el rango de </w:t>
      </w:r>
      <w:r w:rsidR="007A4177">
        <w:rPr>
          <w:lang w:val="es-CL"/>
        </w:rPr>
        <w:t>45</w:t>
      </w:r>
      <w:r w:rsidRPr="00870BBA">
        <w:rPr>
          <w:lang w:val="es-CL"/>
        </w:rPr>
        <w:t xml:space="preserve"> a </w:t>
      </w:r>
      <w:r w:rsidR="007A4177">
        <w:rPr>
          <w:lang w:val="es-CL"/>
        </w:rPr>
        <w:t>59</w:t>
      </w:r>
      <w:r w:rsidRPr="00870BBA">
        <w:rPr>
          <w:lang w:val="es-CL"/>
        </w:rPr>
        <w:t xml:space="preserve"> años, seguido por el de </w:t>
      </w:r>
      <w:r w:rsidR="007A4177">
        <w:rPr>
          <w:lang w:val="es-CL"/>
        </w:rPr>
        <w:t>30</w:t>
      </w:r>
      <w:r w:rsidRPr="00870BBA">
        <w:rPr>
          <w:lang w:val="es-CL"/>
        </w:rPr>
        <w:t xml:space="preserve"> a </w:t>
      </w:r>
      <w:r w:rsidR="007A4177">
        <w:rPr>
          <w:lang w:val="es-CL"/>
        </w:rPr>
        <w:t>44</w:t>
      </w:r>
      <w:r w:rsidRPr="00870BBA">
        <w:rPr>
          <w:lang w:val="es-CL"/>
        </w:rPr>
        <w:t xml:space="preserve"> años.</w:t>
      </w:r>
    </w:p>
    <w:p w14:paraId="6D48AFA8" w14:textId="77777777" w:rsidR="00D9754D" w:rsidRPr="00870BBA" w:rsidRDefault="00D9754D">
      <w:pPr>
        <w:pStyle w:val="FirstParagraph"/>
        <w:rPr>
          <w:lang w:val="es-CL"/>
        </w:rPr>
      </w:pPr>
    </w:p>
    <w:p w14:paraId="1887AF4D" w14:textId="77777777" w:rsidR="00D9754D" w:rsidRPr="00870BBA" w:rsidRDefault="00CE2957">
      <w:pPr>
        <w:pStyle w:val="Ttulo4"/>
        <w:rPr>
          <w:lang w:val="es-CL"/>
        </w:rPr>
      </w:pPr>
      <w:bookmarkStart w:id="6" w:name="Xba1af21376ddb8a1b0813a1e4f059ee84ef96bb"/>
      <w:r w:rsidRPr="00870BBA">
        <w:rPr>
          <w:lang w:val="es-CL"/>
        </w:rPr>
        <w:t>Evolución Inactivos por grupo de edad (Variación con respecto al Trimestre Anterior)</w:t>
      </w:r>
      <w:bookmarkEnd w:id="6"/>
    </w:p>
    <w:p w14:paraId="285CECC6" w14:textId="77777777" w:rsidR="00D9754D" w:rsidRDefault="00CE2957">
      <w:pPr>
        <w:pStyle w:val="FirstParagraph"/>
      </w:pPr>
      <w:r>
        <w:rPr>
          <w:noProof/>
          <w:lang w:val="es-CL" w:eastAsia="es-CL"/>
        </w:rPr>
        <w:drawing>
          <wp:inline distT="0" distB="0" distL="0" distR="0" wp14:anchorId="6965B894" wp14:editId="7E66FEFF">
            <wp:extent cx="6858000" cy="51435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Grafico%207.15-1.png"/>
                    <pic:cNvPicPr>
                      <a:picLocks noChangeAspect="1" noChangeArrowheads="1"/>
                    </pic:cNvPicPr>
                  </pic:nvPicPr>
                  <pic:blipFill>
                    <a:blip r:embed="rId12"/>
                    <a:stretch>
                      <a:fillRect/>
                    </a:stretch>
                  </pic:blipFill>
                  <pic:spPr bwMode="auto">
                    <a:xfrm>
                      <a:off x="0" y="0"/>
                      <a:ext cx="6858000" cy="5143500"/>
                    </a:xfrm>
                    <a:prstGeom prst="rect">
                      <a:avLst/>
                    </a:prstGeom>
                    <a:noFill/>
                    <a:ln w="9525">
                      <a:noFill/>
                      <a:headEnd/>
                      <a:tailEnd/>
                    </a:ln>
                  </pic:spPr>
                </pic:pic>
              </a:graphicData>
            </a:graphic>
          </wp:inline>
        </w:drawing>
      </w:r>
    </w:p>
    <w:p w14:paraId="0FF42C91" w14:textId="2EB9FC05" w:rsidR="00D9754D" w:rsidRPr="00870BBA" w:rsidRDefault="00F34B55" w:rsidP="003C2AF5">
      <w:pPr>
        <w:numPr>
          <w:ilvl w:val="0"/>
          <w:numId w:val="22"/>
        </w:numPr>
        <w:jc w:val="both"/>
        <w:rPr>
          <w:lang w:val="es-CL"/>
        </w:rPr>
      </w:pPr>
      <w:r>
        <w:rPr>
          <w:lang w:val="es-CL"/>
        </w:rPr>
        <w:t>Al compara</w:t>
      </w:r>
      <w:r w:rsidR="002869EC">
        <w:rPr>
          <w:lang w:val="es-CL"/>
        </w:rPr>
        <w:t>r</w:t>
      </w:r>
      <w:r>
        <w:rPr>
          <w:lang w:val="es-CL"/>
        </w:rPr>
        <w:t xml:space="preserve"> la evolución de inactivos con la información del trimestre inmediatamente</w:t>
      </w:r>
      <w:r w:rsidR="00CA1049">
        <w:rPr>
          <w:lang w:val="es-CL"/>
        </w:rPr>
        <w:t xml:space="preserve"> anterior. </w:t>
      </w:r>
      <w:r w:rsidR="00CE2957" w:rsidRPr="00870BBA">
        <w:rPr>
          <w:lang w:val="es-CL"/>
        </w:rPr>
        <w:t xml:space="preserve">El aumento en el grupo de inactivos es </w:t>
      </w:r>
      <w:r>
        <w:rPr>
          <w:lang w:val="es-CL"/>
        </w:rPr>
        <w:t>claramente</w:t>
      </w:r>
      <w:r w:rsidR="00CE2957" w:rsidRPr="00870BBA">
        <w:rPr>
          <w:lang w:val="es-CL"/>
        </w:rPr>
        <w:t xml:space="preserve"> inferior al del boletín pasado, para todas las edades</w:t>
      </w:r>
      <w:r>
        <w:rPr>
          <w:lang w:val="es-CL"/>
        </w:rPr>
        <w:t>. Inclus</w:t>
      </w:r>
      <w:r w:rsidR="00CA1049">
        <w:rPr>
          <w:lang w:val="es-CL"/>
        </w:rPr>
        <w:t xml:space="preserve">o, para el rango de edad de 55 a 64 años se observa, por primera vez en </w:t>
      </w:r>
      <w:r w:rsidR="002869EC">
        <w:rPr>
          <w:lang w:val="es-CL"/>
        </w:rPr>
        <w:t>el 2020</w:t>
      </w:r>
      <w:r w:rsidR="00CA1049">
        <w:rPr>
          <w:lang w:val="es-CL"/>
        </w:rPr>
        <w:t>, una disminución en el número de inactivos.</w:t>
      </w:r>
    </w:p>
    <w:p w14:paraId="255E78D7" w14:textId="30060690" w:rsidR="00D9754D" w:rsidRPr="00870BBA" w:rsidRDefault="002869EC" w:rsidP="003C2AF5">
      <w:pPr>
        <w:numPr>
          <w:ilvl w:val="0"/>
          <w:numId w:val="22"/>
        </w:numPr>
        <w:jc w:val="both"/>
        <w:rPr>
          <w:lang w:val="es-CL"/>
        </w:rPr>
      </w:pPr>
      <w:r>
        <w:rPr>
          <w:lang w:val="es-CL"/>
        </w:rPr>
        <w:t>Al igual que en el</w:t>
      </w:r>
      <w:r w:rsidR="00CE2957" w:rsidRPr="00870BBA">
        <w:rPr>
          <w:lang w:val="es-CL"/>
        </w:rPr>
        <w:t xml:space="preserve"> boletín pasado, </w:t>
      </w:r>
      <w:r w:rsidR="00CA1049">
        <w:rPr>
          <w:lang w:val="es-CL"/>
        </w:rPr>
        <w:t xml:space="preserve">el grupo que muestra un mayor aumento de inactivos es </w:t>
      </w:r>
      <w:r w:rsidR="00CE2957" w:rsidRPr="00870BBA">
        <w:rPr>
          <w:lang w:val="es-CL"/>
        </w:rPr>
        <w:t>el grupo de 25 a 54 años.</w:t>
      </w:r>
      <w:r w:rsidR="00CA1049">
        <w:rPr>
          <w:lang w:val="es-CL"/>
        </w:rPr>
        <w:t xml:space="preserve"> </w:t>
      </w:r>
    </w:p>
    <w:p w14:paraId="344E927E" w14:textId="7236855F" w:rsidR="00D9754D" w:rsidRPr="00870BBA" w:rsidRDefault="00CE2957" w:rsidP="003C2AF5">
      <w:pPr>
        <w:numPr>
          <w:ilvl w:val="0"/>
          <w:numId w:val="22"/>
        </w:numPr>
        <w:jc w:val="both"/>
        <w:rPr>
          <w:lang w:val="es-CL"/>
        </w:rPr>
      </w:pPr>
      <w:r w:rsidRPr="00870BBA">
        <w:rPr>
          <w:lang w:val="es-CL"/>
        </w:rPr>
        <w:t>Dada su alta mortalidad al contraer el COVID-19, el grupo etario sobre los 64 años deberá ser mucho más cauto al salir a buscar trabajo para no contagiarse y, por lo tanto, su generación de ingresos será más difícil. Por ello, se debe pensar en una política especialmente orientada a este segmento de modo de reducir los riesgos de contagio y los efectos económicos en sus tasas de empleo. Ello pondrá más presión al sistema de pensiones chileno, él que no ha sido capaz de entregar pensiones de un monto suficiente.</w:t>
      </w:r>
    </w:p>
    <w:p w14:paraId="4556C311" w14:textId="77777777" w:rsidR="00D9754D" w:rsidRPr="00870BBA" w:rsidRDefault="00D9754D" w:rsidP="003C2AF5">
      <w:pPr>
        <w:pStyle w:val="FirstParagraph"/>
        <w:jc w:val="both"/>
        <w:rPr>
          <w:lang w:val="es-CL"/>
        </w:rPr>
      </w:pPr>
    </w:p>
    <w:p w14:paraId="2C862E1B" w14:textId="77777777" w:rsidR="00D9754D" w:rsidRDefault="00CE2957">
      <w:pPr>
        <w:pStyle w:val="Ttulo2"/>
      </w:pPr>
      <w:bookmarkStart w:id="7" w:name="panorama-sectorial-y-educativo"/>
      <w:r>
        <w:t xml:space="preserve">Panorama Sectorial y </w:t>
      </w:r>
      <w:proofErr w:type="spellStart"/>
      <w:r>
        <w:t>Educativo</w:t>
      </w:r>
      <w:bookmarkEnd w:id="7"/>
      <w:proofErr w:type="spellEnd"/>
    </w:p>
    <w:p w14:paraId="32A38DDD" w14:textId="7416878E" w:rsidR="00D9754D" w:rsidRPr="00870BBA" w:rsidRDefault="00CE2957" w:rsidP="003C2AF5">
      <w:pPr>
        <w:numPr>
          <w:ilvl w:val="0"/>
          <w:numId w:val="23"/>
        </w:numPr>
        <w:jc w:val="both"/>
        <w:rPr>
          <w:lang w:val="es-CL"/>
        </w:rPr>
      </w:pPr>
      <w:r w:rsidRPr="00870BBA">
        <w:rPr>
          <w:lang w:val="es-CL"/>
        </w:rPr>
        <w:lastRenderedPageBreak/>
        <w:t>Los sectores que en general representan una mayor proporción del empleo este trimestre (MJ</w:t>
      </w:r>
      <w:r w:rsidR="00CA1049">
        <w:rPr>
          <w:lang w:val="es-CL"/>
        </w:rPr>
        <w:t>J</w:t>
      </w:r>
      <w:r w:rsidRPr="00870BBA">
        <w:rPr>
          <w:lang w:val="es-CL"/>
        </w:rPr>
        <w:t>-2020 en barras) son Comercio, Servicios Personales y Sociales, Industrias Manufactureras y Transporte, Información y Comunicaciones (TICs) – representando más de un 5</w:t>
      </w:r>
      <w:r w:rsidR="00CA1049">
        <w:rPr>
          <w:lang w:val="es-CL"/>
        </w:rPr>
        <w:t>3</w:t>
      </w:r>
      <w:r w:rsidRPr="00870BBA">
        <w:rPr>
          <w:lang w:val="es-CL"/>
        </w:rPr>
        <w:t>,</w:t>
      </w:r>
      <w:r w:rsidR="00CA1049">
        <w:rPr>
          <w:lang w:val="es-CL"/>
        </w:rPr>
        <w:t>12</w:t>
      </w:r>
      <w:r w:rsidRPr="00870BBA">
        <w:rPr>
          <w:lang w:val="es-CL"/>
        </w:rPr>
        <w:t>% del mercado laboral.</w:t>
      </w:r>
    </w:p>
    <w:p w14:paraId="478618C6" w14:textId="1F5B3D5C" w:rsidR="00D9754D" w:rsidRPr="00870BBA" w:rsidRDefault="00CE2957" w:rsidP="003C2AF5">
      <w:pPr>
        <w:numPr>
          <w:ilvl w:val="0"/>
          <w:numId w:val="23"/>
        </w:numPr>
        <w:jc w:val="both"/>
        <w:rPr>
          <w:lang w:val="es-CL"/>
        </w:rPr>
      </w:pPr>
      <w:r w:rsidRPr="00870BBA">
        <w:rPr>
          <w:lang w:val="es-CL"/>
        </w:rPr>
        <w:t>La estructura sectorial de la Región Metropolitana se mantiene, por lo menos en los primeros puestos, respecto del mismo trimestre de 2019, excepto que Educación pasa al quinto lugar en importancia, desplazando al sector de Construcción al séptimo lugar.</w:t>
      </w:r>
    </w:p>
    <w:p w14:paraId="7E713453" w14:textId="64B6429D" w:rsidR="00D9754D" w:rsidRPr="00870BBA" w:rsidRDefault="00CE2957" w:rsidP="003C2AF5">
      <w:pPr>
        <w:pStyle w:val="Compact"/>
        <w:numPr>
          <w:ilvl w:val="1"/>
          <w:numId w:val="24"/>
        </w:numPr>
        <w:jc w:val="both"/>
        <w:rPr>
          <w:lang w:val="es-CL"/>
        </w:rPr>
      </w:pPr>
      <w:r w:rsidRPr="00870BBA">
        <w:rPr>
          <w:lang w:val="es-CL"/>
        </w:rPr>
        <w:t>Los sectores de mayor aumento en participación relativa del empleo, con respecto a MJ</w:t>
      </w:r>
      <w:r w:rsidR="00CA1049">
        <w:rPr>
          <w:lang w:val="es-CL"/>
        </w:rPr>
        <w:t>J</w:t>
      </w:r>
      <w:r w:rsidRPr="00870BBA">
        <w:rPr>
          <w:lang w:val="es-CL"/>
        </w:rPr>
        <w:t>-2019, son los sectores de Servicios Sociales y Personales, Act. Profesionales y Administrativas, TICs, Educación, Act. Financieras, Seguros e Inmobiliarias y Administración Pública.</w:t>
      </w:r>
    </w:p>
    <w:p w14:paraId="57F15088" w14:textId="1A3FC142" w:rsidR="00D9754D" w:rsidRPr="00870BBA" w:rsidRDefault="00CE2957" w:rsidP="003C2AF5">
      <w:pPr>
        <w:pStyle w:val="Compact"/>
        <w:numPr>
          <w:ilvl w:val="1"/>
          <w:numId w:val="24"/>
        </w:numPr>
        <w:jc w:val="both"/>
        <w:rPr>
          <w:lang w:val="es-CL"/>
        </w:rPr>
      </w:pPr>
      <w:r w:rsidRPr="00870BBA">
        <w:rPr>
          <w:lang w:val="es-CL"/>
        </w:rPr>
        <w:t>Los sectores que pierden participación en el empleo son Comercio (21,</w:t>
      </w:r>
      <w:r w:rsidR="00CA1049">
        <w:rPr>
          <w:lang w:val="es-CL"/>
        </w:rPr>
        <w:t>06</w:t>
      </w:r>
      <w:r w:rsidRPr="00870BBA">
        <w:rPr>
          <w:lang w:val="es-CL"/>
        </w:rPr>
        <w:t>% en MJ</w:t>
      </w:r>
      <w:r w:rsidR="00CA1049">
        <w:rPr>
          <w:lang w:val="es-CL"/>
        </w:rPr>
        <w:t>J</w:t>
      </w:r>
      <w:r w:rsidRPr="00870BBA">
        <w:rPr>
          <w:lang w:val="es-CL"/>
        </w:rPr>
        <w:t xml:space="preserve"> 2019 vs. 19,24% en MJ</w:t>
      </w:r>
      <w:r w:rsidR="00CA1049">
        <w:rPr>
          <w:lang w:val="es-CL"/>
        </w:rPr>
        <w:t>J</w:t>
      </w:r>
      <w:r w:rsidRPr="00870BBA">
        <w:rPr>
          <w:lang w:val="es-CL"/>
        </w:rPr>
        <w:t xml:space="preserve"> 2020), Construcción (</w:t>
      </w:r>
      <w:r w:rsidR="00CA1049">
        <w:rPr>
          <w:lang w:val="es-CL"/>
        </w:rPr>
        <w:t>9</w:t>
      </w:r>
      <w:r w:rsidRPr="00870BBA">
        <w:rPr>
          <w:lang w:val="es-CL"/>
        </w:rPr>
        <w:t>,</w:t>
      </w:r>
      <w:r w:rsidR="00CA1049">
        <w:rPr>
          <w:lang w:val="es-CL"/>
        </w:rPr>
        <w:t>11</w:t>
      </w:r>
      <w:r w:rsidRPr="00870BBA">
        <w:rPr>
          <w:lang w:val="es-CL"/>
        </w:rPr>
        <w:t>% en MJ</w:t>
      </w:r>
      <w:r w:rsidR="00CA1049">
        <w:rPr>
          <w:lang w:val="es-CL"/>
        </w:rPr>
        <w:t>J</w:t>
      </w:r>
      <w:r w:rsidRPr="00870BBA">
        <w:rPr>
          <w:lang w:val="es-CL"/>
        </w:rPr>
        <w:t xml:space="preserve"> 2019 vs. </w:t>
      </w:r>
      <w:r w:rsidR="00CA1049">
        <w:rPr>
          <w:lang w:val="es-CL"/>
        </w:rPr>
        <w:t>6</w:t>
      </w:r>
      <w:r w:rsidRPr="00870BBA">
        <w:rPr>
          <w:lang w:val="es-CL"/>
        </w:rPr>
        <w:t>,</w:t>
      </w:r>
      <w:r w:rsidR="00CA1049">
        <w:rPr>
          <w:lang w:val="es-CL"/>
        </w:rPr>
        <w:t>82</w:t>
      </w:r>
      <w:r w:rsidRPr="00870BBA">
        <w:rPr>
          <w:lang w:val="es-CL"/>
        </w:rPr>
        <w:t>% en MJ</w:t>
      </w:r>
      <w:r w:rsidR="00CA1049">
        <w:rPr>
          <w:lang w:val="es-CL"/>
        </w:rPr>
        <w:t>J</w:t>
      </w:r>
      <w:r w:rsidRPr="00870BBA">
        <w:rPr>
          <w:lang w:val="es-CL"/>
        </w:rPr>
        <w:t xml:space="preserve"> 2020), y Alojamiento y Ss. de Comidas (5,</w:t>
      </w:r>
      <w:r w:rsidR="00CA1049">
        <w:rPr>
          <w:lang w:val="es-CL"/>
        </w:rPr>
        <w:t>52</w:t>
      </w:r>
      <w:r w:rsidRPr="00870BBA">
        <w:rPr>
          <w:lang w:val="es-CL"/>
        </w:rPr>
        <w:t>% en MJ</w:t>
      </w:r>
      <w:r w:rsidR="00CA1049">
        <w:rPr>
          <w:lang w:val="es-CL"/>
        </w:rPr>
        <w:t>J</w:t>
      </w:r>
      <w:r w:rsidRPr="00870BBA">
        <w:rPr>
          <w:lang w:val="es-CL"/>
        </w:rPr>
        <w:t xml:space="preserve"> 2019 vs. </w:t>
      </w:r>
      <w:r w:rsidR="00CA1049">
        <w:rPr>
          <w:lang w:val="es-CL"/>
        </w:rPr>
        <w:t>2</w:t>
      </w:r>
      <w:r w:rsidRPr="00870BBA">
        <w:rPr>
          <w:lang w:val="es-CL"/>
        </w:rPr>
        <w:t>,</w:t>
      </w:r>
      <w:r w:rsidR="00CA1049">
        <w:rPr>
          <w:lang w:val="es-CL"/>
        </w:rPr>
        <w:t>86</w:t>
      </w:r>
      <w:r w:rsidRPr="00870BBA">
        <w:rPr>
          <w:lang w:val="es-CL"/>
        </w:rPr>
        <w:t>% en MJ</w:t>
      </w:r>
      <w:r w:rsidR="00CA1049">
        <w:rPr>
          <w:lang w:val="es-CL"/>
        </w:rPr>
        <w:t>J</w:t>
      </w:r>
      <w:r w:rsidRPr="00870BBA">
        <w:rPr>
          <w:lang w:val="es-CL"/>
        </w:rPr>
        <w:t xml:space="preserve"> 2020)y Act. de los Hogares (4,</w:t>
      </w:r>
      <w:r w:rsidR="00CA1049">
        <w:rPr>
          <w:lang w:val="es-CL"/>
        </w:rPr>
        <w:t>09</w:t>
      </w:r>
      <w:r w:rsidRPr="00870BBA">
        <w:rPr>
          <w:lang w:val="es-CL"/>
        </w:rPr>
        <w:t>% en MJ</w:t>
      </w:r>
      <w:r w:rsidR="00CA1049">
        <w:rPr>
          <w:lang w:val="es-CL"/>
        </w:rPr>
        <w:t>J</w:t>
      </w:r>
      <w:r w:rsidRPr="00870BBA">
        <w:rPr>
          <w:lang w:val="es-CL"/>
        </w:rPr>
        <w:t xml:space="preserve"> 2019 vs. 3,</w:t>
      </w:r>
      <w:r w:rsidR="00CA1049">
        <w:rPr>
          <w:lang w:val="es-CL"/>
        </w:rPr>
        <w:t>04</w:t>
      </w:r>
      <w:r w:rsidRPr="00870BBA">
        <w:rPr>
          <w:lang w:val="es-CL"/>
        </w:rPr>
        <w:t>% en MJ</w:t>
      </w:r>
      <w:r w:rsidR="00CA1049">
        <w:rPr>
          <w:lang w:val="es-CL"/>
        </w:rPr>
        <w:t>J</w:t>
      </w:r>
      <w:r w:rsidRPr="00870BBA">
        <w:rPr>
          <w:lang w:val="es-CL"/>
        </w:rPr>
        <w:t xml:space="preserve"> 2020).</w:t>
      </w:r>
    </w:p>
    <w:p w14:paraId="5FAB5F53" w14:textId="77777777" w:rsidR="00D9754D" w:rsidRPr="00870BBA" w:rsidRDefault="00CE2957" w:rsidP="003C2AF5">
      <w:pPr>
        <w:pStyle w:val="Compact"/>
        <w:numPr>
          <w:ilvl w:val="1"/>
          <w:numId w:val="24"/>
        </w:numPr>
        <w:jc w:val="both"/>
        <w:rPr>
          <w:lang w:val="es-CL"/>
        </w:rPr>
      </w:pPr>
      <w:r w:rsidRPr="00870BBA">
        <w:rPr>
          <w:lang w:val="es-CL"/>
        </w:rPr>
        <w:t>Como es esperable, los sectores que pierden participación son los que tienen una menor capacidad de adaptación frente a las medidas de distanciamiento social.</w:t>
      </w:r>
    </w:p>
    <w:p w14:paraId="3A97FF09" w14:textId="77777777" w:rsidR="00D9754D" w:rsidRPr="00870BBA" w:rsidRDefault="00CE2957">
      <w:pPr>
        <w:pStyle w:val="Ttulo4"/>
        <w:rPr>
          <w:lang w:val="es-CL"/>
        </w:rPr>
      </w:pPr>
      <w:bookmarkStart w:id="8" w:name="X54f3bc47ec10cb4a07ddf5e51de395a20cada71"/>
      <w:r w:rsidRPr="00870BBA">
        <w:rPr>
          <w:lang w:val="es-CL"/>
        </w:rPr>
        <w:t xml:space="preserve">Ocupados Por Industria </w:t>
      </w:r>
      <w:r w:rsidRPr="00870BBA">
        <w:rPr>
          <w:i/>
          <w:lang w:val="es-CL"/>
        </w:rPr>
        <w:t>(mismo trimestre año 2019)</w:t>
      </w:r>
      <w:r>
        <w:rPr>
          <w:rStyle w:val="Refdenotaalpie"/>
        </w:rPr>
        <w:footnoteReference w:id="2"/>
      </w:r>
      <w:bookmarkEnd w:id="8"/>
    </w:p>
    <w:p w14:paraId="741FE22B" w14:textId="77777777" w:rsidR="00D9754D" w:rsidRDefault="00CE2957">
      <w:pPr>
        <w:pStyle w:val="Textoindependiente"/>
      </w:pPr>
      <w:r>
        <w:rPr>
          <w:noProof/>
          <w:lang w:val="es-CL" w:eastAsia="es-CL"/>
        </w:rPr>
        <w:drawing>
          <wp:inline distT="0" distB="0" distL="0" distR="0" wp14:anchorId="505178CB" wp14:editId="6093DCD6">
            <wp:extent cx="6413627" cy="256545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Grafico%204-1.png"/>
                    <pic:cNvPicPr>
                      <a:picLocks noChangeAspect="1" noChangeArrowheads="1"/>
                    </pic:cNvPicPr>
                  </pic:nvPicPr>
                  <pic:blipFill>
                    <a:blip r:embed="rId13"/>
                    <a:stretch>
                      <a:fillRect/>
                    </a:stretch>
                  </pic:blipFill>
                  <pic:spPr bwMode="auto">
                    <a:xfrm>
                      <a:off x="0" y="0"/>
                      <a:ext cx="6413627" cy="2565450"/>
                    </a:xfrm>
                    <a:prstGeom prst="rect">
                      <a:avLst/>
                    </a:prstGeom>
                    <a:noFill/>
                    <a:ln w="9525">
                      <a:noFill/>
                      <a:headEnd/>
                      <a:tailEnd/>
                    </a:ln>
                  </pic:spPr>
                </pic:pic>
              </a:graphicData>
            </a:graphic>
          </wp:inline>
        </w:drawing>
      </w:r>
    </w:p>
    <w:p w14:paraId="2912ED55" w14:textId="77777777" w:rsidR="00D9754D" w:rsidRPr="00CA1049" w:rsidRDefault="00CE2957">
      <w:pPr>
        <w:pStyle w:val="Ttulo4"/>
        <w:rPr>
          <w:lang w:val="es-CL"/>
        </w:rPr>
      </w:pPr>
      <w:bookmarkStart w:id="9" w:name="X7f54cb9093f4e6083bab1b16b7f0051b8fa3a6b"/>
      <w:r w:rsidRPr="00CA1049">
        <w:rPr>
          <w:lang w:val="es-CL"/>
        </w:rPr>
        <w:t>Situación Ocupacional Por Nivel Educacional</w:t>
      </w:r>
      <w:bookmarkEnd w:id="9"/>
    </w:p>
    <w:tbl>
      <w:tblPr>
        <w:tblW w:w="5000" w:type="pct"/>
        <w:jc w:val="center"/>
        <w:tblLook w:val="0420" w:firstRow="1" w:lastRow="0" w:firstColumn="0" w:lastColumn="0" w:noHBand="0" w:noVBand="1"/>
      </w:tblPr>
      <w:tblGrid>
        <w:gridCol w:w="1645"/>
        <w:gridCol w:w="950"/>
        <w:gridCol w:w="950"/>
        <w:gridCol w:w="1091"/>
        <w:gridCol w:w="1132"/>
        <w:gridCol w:w="950"/>
        <w:gridCol w:w="1091"/>
        <w:gridCol w:w="950"/>
        <w:gridCol w:w="950"/>
        <w:gridCol w:w="1091"/>
      </w:tblGrid>
      <w:tr w:rsidR="00D9754D" w14:paraId="3AE1654E" w14:textId="77777777" w:rsidTr="00DA5A43">
        <w:trPr>
          <w:cantSplit/>
          <w:tblHeader/>
          <w:jc w:val="center"/>
        </w:trPr>
        <w:tc>
          <w:tcPr>
            <w:tcW w:w="761" w:type="pct"/>
            <w:shd w:val="clear" w:color="auto" w:fill="FFFFFF"/>
            <w:tcMar>
              <w:top w:w="0" w:type="dxa"/>
              <w:left w:w="0" w:type="dxa"/>
              <w:bottom w:w="0" w:type="dxa"/>
              <w:right w:w="0" w:type="dxa"/>
            </w:tcMar>
            <w:vAlign w:val="center"/>
          </w:tcPr>
          <w:p w14:paraId="56279AA9" w14:textId="77777777" w:rsidR="00D9754D" w:rsidRDefault="00CE2957">
            <w:pPr>
              <w:spacing w:after="0"/>
              <w:jc w:val="center"/>
            </w:pPr>
            <w:r>
              <w:rPr>
                <w:rFonts w:ascii="Arial" w:eastAsia="Arial" w:hAnsi="Arial" w:cs="Arial"/>
                <w:b/>
                <w:color w:val="000000"/>
                <w:sz w:val="14"/>
                <w:szCs w:val="14"/>
              </w:rPr>
              <w:t xml:space="preserve"> </w:t>
            </w:r>
          </w:p>
        </w:tc>
        <w:tc>
          <w:tcPr>
            <w:tcW w:w="1385" w:type="pct"/>
            <w:gridSpan w:val="3"/>
            <w:shd w:val="clear" w:color="auto" w:fill="FFFFFF"/>
            <w:tcMar>
              <w:top w:w="0" w:type="dxa"/>
              <w:left w:w="0" w:type="dxa"/>
              <w:bottom w:w="0" w:type="dxa"/>
              <w:right w:w="0" w:type="dxa"/>
            </w:tcMar>
            <w:vAlign w:val="center"/>
          </w:tcPr>
          <w:p w14:paraId="48653BDB" w14:textId="77777777" w:rsidR="00D9754D" w:rsidRDefault="00CE2957">
            <w:pPr>
              <w:spacing w:after="0"/>
              <w:jc w:val="center"/>
            </w:pPr>
            <w:r>
              <w:rPr>
                <w:rFonts w:ascii="Arial" w:eastAsia="Arial" w:hAnsi="Arial" w:cs="Arial"/>
                <w:b/>
                <w:color w:val="000000"/>
                <w:sz w:val="14"/>
                <w:szCs w:val="14"/>
              </w:rPr>
              <w:t>OCUPADOS</w:t>
            </w:r>
          </w:p>
        </w:tc>
        <w:tc>
          <w:tcPr>
            <w:tcW w:w="1469" w:type="pct"/>
            <w:gridSpan w:val="3"/>
            <w:shd w:val="clear" w:color="auto" w:fill="FFFFFF"/>
            <w:tcMar>
              <w:top w:w="0" w:type="dxa"/>
              <w:left w:w="0" w:type="dxa"/>
              <w:bottom w:w="0" w:type="dxa"/>
              <w:right w:w="0" w:type="dxa"/>
            </w:tcMar>
            <w:vAlign w:val="center"/>
          </w:tcPr>
          <w:p w14:paraId="6EB62110" w14:textId="77777777" w:rsidR="00D9754D" w:rsidRDefault="00CE2957">
            <w:pPr>
              <w:spacing w:after="0"/>
              <w:jc w:val="center"/>
            </w:pPr>
            <w:r>
              <w:rPr>
                <w:rFonts w:ascii="Arial" w:eastAsia="Arial" w:hAnsi="Arial" w:cs="Arial"/>
                <w:b/>
                <w:color w:val="000000"/>
                <w:sz w:val="14"/>
                <w:szCs w:val="14"/>
              </w:rPr>
              <w:t>DESOCUPADOS</w:t>
            </w:r>
          </w:p>
        </w:tc>
        <w:tc>
          <w:tcPr>
            <w:tcW w:w="1385" w:type="pct"/>
            <w:gridSpan w:val="3"/>
            <w:shd w:val="clear" w:color="auto" w:fill="FFFFFF"/>
            <w:tcMar>
              <w:top w:w="0" w:type="dxa"/>
              <w:left w:w="0" w:type="dxa"/>
              <w:bottom w:w="0" w:type="dxa"/>
              <w:right w:w="0" w:type="dxa"/>
            </w:tcMar>
            <w:vAlign w:val="center"/>
          </w:tcPr>
          <w:p w14:paraId="5C1F6137" w14:textId="77777777" w:rsidR="00D9754D" w:rsidRDefault="00CE2957">
            <w:pPr>
              <w:spacing w:after="0"/>
              <w:jc w:val="center"/>
            </w:pPr>
            <w:r>
              <w:rPr>
                <w:rFonts w:ascii="Arial" w:eastAsia="Arial" w:hAnsi="Arial" w:cs="Arial"/>
                <w:b/>
                <w:color w:val="000000"/>
                <w:sz w:val="14"/>
                <w:szCs w:val="14"/>
              </w:rPr>
              <w:t>INACTIVOS</w:t>
            </w:r>
          </w:p>
        </w:tc>
      </w:tr>
      <w:tr w:rsidR="00D9754D" w14:paraId="4016020A" w14:textId="77777777" w:rsidTr="00DA5A43">
        <w:trPr>
          <w:cantSplit/>
          <w:tblHeader/>
          <w:jc w:val="center"/>
        </w:trPr>
        <w:tc>
          <w:tcPr>
            <w:tcW w:w="761" w:type="pct"/>
            <w:shd w:val="clear" w:color="auto" w:fill="00A297"/>
            <w:tcMar>
              <w:top w:w="0" w:type="dxa"/>
              <w:left w:w="0" w:type="dxa"/>
              <w:bottom w:w="0" w:type="dxa"/>
              <w:right w:w="0" w:type="dxa"/>
            </w:tcMar>
            <w:vAlign w:val="center"/>
          </w:tcPr>
          <w:p w14:paraId="73F83182" w14:textId="77777777" w:rsidR="00D9754D" w:rsidRDefault="00CE2957">
            <w:pPr>
              <w:spacing w:before="40" w:after="40"/>
              <w:ind w:left="100" w:right="100"/>
            </w:pPr>
            <w:r>
              <w:rPr>
                <w:rFonts w:ascii="Arial" w:eastAsia="Arial" w:hAnsi="Arial" w:cs="Arial"/>
                <w:b/>
                <w:color w:val="FFFFFF"/>
                <w:sz w:val="14"/>
                <w:szCs w:val="14"/>
              </w:rPr>
              <w:t>NIVEL EDUCACIONAL</w:t>
            </w:r>
          </w:p>
        </w:tc>
        <w:tc>
          <w:tcPr>
            <w:tcW w:w="440" w:type="pct"/>
            <w:shd w:val="clear" w:color="auto" w:fill="00A297"/>
            <w:tcMar>
              <w:top w:w="0" w:type="dxa"/>
              <w:left w:w="0" w:type="dxa"/>
              <w:bottom w:w="0" w:type="dxa"/>
              <w:right w:w="0" w:type="dxa"/>
            </w:tcMar>
            <w:vAlign w:val="center"/>
          </w:tcPr>
          <w:p w14:paraId="13902FB5" w14:textId="77777777" w:rsidR="00D9754D" w:rsidRDefault="00CE2957">
            <w:pPr>
              <w:spacing w:before="40" w:after="40"/>
              <w:ind w:left="100" w:right="100"/>
              <w:jc w:val="center"/>
            </w:pPr>
            <w:r>
              <w:rPr>
                <w:rFonts w:ascii="Arial" w:eastAsia="Arial" w:hAnsi="Arial" w:cs="Arial"/>
                <w:b/>
                <w:color w:val="FFFFFF"/>
                <w:sz w:val="14"/>
                <w:szCs w:val="14"/>
              </w:rPr>
              <w:t>MJJ-2019</w:t>
            </w:r>
          </w:p>
        </w:tc>
        <w:tc>
          <w:tcPr>
            <w:tcW w:w="440" w:type="pct"/>
            <w:shd w:val="clear" w:color="auto" w:fill="00A297"/>
            <w:tcMar>
              <w:top w:w="0" w:type="dxa"/>
              <w:left w:w="0" w:type="dxa"/>
              <w:bottom w:w="0" w:type="dxa"/>
              <w:right w:w="0" w:type="dxa"/>
            </w:tcMar>
            <w:vAlign w:val="center"/>
          </w:tcPr>
          <w:p w14:paraId="1D82E063" w14:textId="77777777" w:rsidR="00D9754D" w:rsidRDefault="00CE2957">
            <w:pPr>
              <w:spacing w:before="40" w:after="40"/>
              <w:ind w:left="100" w:right="100"/>
              <w:jc w:val="center"/>
            </w:pPr>
            <w:r>
              <w:rPr>
                <w:rFonts w:ascii="Arial" w:eastAsia="Arial" w:hAnsi="Arial" w:cs="Arial"/>
                <w:b/>
                <w:color w:val="FFFFFF"/>
                <w:sz w:val="14"/>
                <w:szCs w:val="14"/>
              </w:rPr>
              <w:t>MJJ-2020</w:t>
            </w:r>
          </w:p>
        </w:tc>
        <w:tc>
          <w:tcPr>
            <w:tcW w:w="505" w:type="pct"/>
            <w:shd w:val="clear" w:color="auto" w:fill="00A297"/>
            <w:tcMar>
              <w:top w:w="0" w:type="dxa"/>
              <w:left w:w="0" w:type="dxa"/>
              <w:bottom w:w="0" w:type="dxa"/>
              <w:right w:w="0" w:type="dxa"/>
            </w:tcMar>
            <w:vAlign w:val="center"/>
          </w:tcPr>
          <w:p w14:paraId="40E70131" w14:textId="77777777" w:rsidR="00D9754D" w:rsidRDefault="00CE2957">
            <w:pPr>
              <w:spacing w:before="40" w:after="40"/>
              <w:ind w:left="100" w:right="100"/>
              <w:jc w:val="center"/>
            </w:pPr>
            <w:r>
              <w:rPr>
                <w:rFonts w:ascii="Arial" w:eastAsia="Arial" w:hAnsi="Arial" w:cs="Arial"/>
                <w:b/>
                <w:color w:val="FFFFFF"/>
                <w:sz w:val="14"/>
                <w:szCs w:val="14"/>
              </w:rPr>
              <w:t>VARIACIÓN</w:t>
            </w:r>
          </w:p>
        </w:tc>
        <w:tc>
          <w:tcPr>
            <w:tcW w:w="524" w:type="pct"/>
            <w:shd w:val="clear" w:color="auto" w:fill="00A297"/>
            <w:tcMar>
              <w:top w:w="0" w:type="dxa"/>
              <w:left w:w="0" w:type="dxa"/>
              <w:bottom w:w="0" w:type="dxa"/>
              <w:right w:w="0" w:type="dxa"/>
            </w:tcMar>
            <w:vAlign w:val="center"/>
          </w:tcPr>
          <w:p w14:paraId="79259CB9" w14:textId="77777777" w:rsidR="00D9754D" w:rsidRDefault="00CE2957">
            <w:pPr>
              <w:spacing w:before="40" w:after="40"/>
              <w:ind w:left="100" w:right="100"/>
              <w:jc w:val="center"/>
            </w:pPr>
            <w:r>
              <w:rPr>
                <w:rFonts w:ascii="Arial" w:eastAsia="Arial" w:hAnsi="Arial" w:cs="Arial"/>
                <w:b/>
                <w:color w:val="FFFFFF"/>
                <w:sz w:val="14"/>
                <w:szCs w:val="14"/>
              </w:rPr>
              <w:t>MJJ-2019</w:t>
            </w:r>
          </w:p>
        </w:tc>
        <w:tc>
          <w:tcPr>
            <w:tcW w:w="440" w:type="pct"/>
            <w:shd w:val="clear" w:color="auto" w:fill="00A297"/>
            <w:tcMar>
              <w:top w:w="0" w:type="dxa"/>
              <w:left w:w="0" w:type="dxa"/>
              <w:bottom w:w="0" w:type="dxa"/>
              <w:right w:w="0" w:type="dxa"/>
            </w:tcMar>
            <w:vAlign w:val="center"/>
          </w:tcPr>
          <w:p w14:paraId="32FA62F0" w14:textId="77777777" w:rsidR="00D9754D" w:rsidRDefault="00CE2957">
            <w:pPr>
              <w:spacing w:before="40" w:after="40"/>
              <w:ind w:left="100" w:right="100"/>
              <w:jc w:val="center"/>
            </w:pPr>
            <w:r>
              <w:rPr>
                <w:rFonts w:ascii="Arial" w:eastAsia="Arial" w:hAnsi="Arial" w:cs="Arial"/>
                <w:b/>
                <w:color w:val="FFFFFF"/>
                <w:sz w:val="14"/>
                <w:szCs w:val="14"/>
              </w:rPr>
              <w:t>MJJ-2020</w:t>
            </w:r>
          </w:p>
        </w:tc>
        <w:tc>
          <w:tcPr>
            <w:tcW w:w="505" w:type="pct"/>
            <w:shd w:val="clear" w:color="auto" w:fill="00A297"/>
            <w:tcMar>
              <w:top w:w="0" w:type="dxa"/>
              <w:left w:w="0" w:type="dxa"/>
              <w:bottom w:w="0" w:type="dxa"/>
              <w:right w:w="0" w:type="dxa"/>
            </w:tcMar>
            <w:vAlign w:val="center"/>
          </w:tcPr>
          <w:p w14:paraId="4AB2633C" w14:textId="77777777" w:rsidR="00D9754D" w:rsidRDefault="00CE2957">
            <w:pPr>
              <w:spacing w:before="40" w:after="40"/>
              <w:ind w:left="100" w:right="100"/>
              <w:jc w:val="center"/>
            </w:pPr>
            <w:r>
              <w:rPr>
                <w:rFonts w:ascii="Arial" w:eastAsia="Arial" w:hAnsi="Arial" w:cs="Arial"/>
                <w:b/>
                <w:color w:val="FFFFFF"/>
                <w:sz w:val="14"/>
                <w:szCs w:val="14"/>
              </w:rPr>
              <w:t>VARIACIÓN</w:t>
            </w:r>
          </w:p>
        </w:tc>
        <w:tc>
          <w:tcPr>
            <w:tcW w:w="440" w:type="pct"/>
            <w:shd w:val="clear" w:color="auto" w:fill="00A297"/>
            <w:tcMar>
              <w:top w:w="0" w:type="dxa"/>
              <w:left w:w="0" w:type="dxa"/>
              <w:bottom w:w="0" w:type="dxa"/>
              <w:right w:w="0" w:type="dxa"/>
            </w:tcMar>
            <w:vAlign w:val="center"/>
          </w:tcPr>
          <w:p w14:paraId="3895CAAA" w14:textId="77777777" w:rsidR="00D9754D" w:rsidRDefault="00CE2957">
            <w:pPr>
              <w:spacing w:before="40" w:after="40"/>
              <w:ind w:left="100" w:right="100"/>
              <w:jc w:val="center"/>
            </w:pPr>
            <w:r>
              <w:rPr>
                <w:rFonts w:ascii="Arial" w:eastAsia="Arial" w:hAnsi="Arial" w:cs="Arial"/>
                <w:b/>
                <w:color w:val="FFFFFF"/>
                <w:sz w:val="14"/>
                <w:szCs w:val="14"/>
              </w:rPr>
              <w:t>MJJ-2019</w:t>
            </w:r>
          </w:p>
        </w:tc>
        <w:tc>
          <w:tcPr>
            <w:tcW w:w="440" w:type="pct"/>
            <w:shd w:val="clear" w:color="auto" w:fill="00A297"/>
            <w:tcMar>
              <w:top w:w="0" w:type="dxa"/>
              <w:left w:w="0" w:type="dxa"/>
              <w:bottom w:w="0" w:type="dxa"/>
              <w:right w:w="0" w:type="dxa"/>
            </w:tcMar>
            <w:vAlign w:val="center"/>
          </w:tcPr>
          <w:p w14:paraId="658CBBBD" w14:textId="77777777" w:rsidR="00D9754D" w:rsidRDefault="00CE2957">
            <w:pPr>
              <w:spacing w:before="40" w:after="40"/>
              <w:ind w:left="100" w:right="100"/>
              <w:jc w:val="center"/>
            </w:pPr>
            <w:r>
              <w:rPr>
                <w:rFonts w:ascii="Arial" w:eastAsia="Arial" w:hAnsi="Arial" w:cs="Arial"/>
                <w:b/>
                <w:color w:val="FFFFFF"/>
                <w:sz w:val="14"/>
                <w:szCs w:val="14"/>
              </w:rPr>
              <w:t>MJJ-2020</w:t>
            </w:r>
          </w:p>
        </w:tc>
        <w:tc>
          <w:tcPr>
            <w:tcW w:w="505" w:type="pct"/>
            <w:shd w:val="clear" w:color="auto" w:fill="00A297"/>
            <w:tcMar>
              <w:top w:w="0" w:type="dxa"/>
              <w:left w:w="0" w:type="dxa"/>
              <w:bottom w:w="0" w:type="dxa"/>
              <w:right w:w="0" w:type="dxa"/>
            </w:tcMar>
            <w:vAlign w:val="center"/>
          </w:tcPr>
          <w:p w14:paraId="630B35A6" w14:textId="77777777" w:rsidR="00D9754D" w:rsidRDefault="00CE2957">
            <w:pPr>
              <w:spacing w:before="40" w:after="40"/>
              <w:ind w:left="100" w:right="100"/>
              <w:jc w:val="center"/>
            </w:pPr>
            <w:r>
              <w:rPr>
                <w:rFonts w:ascii="Arial" w:eastAsia="Arial" w:hAnsi="Arial" w:cs="Arial"/>
                <w:b/>
                <w:color w:val="FFFFFF"/>
                <w:sz w:val="14"/>
                <w:szCs w:val="14"/>
              </w:rPr>
              <w:t>VARIACIÓN</w:t>
            </w:r>
          </w:p>
        </w:tc>
      </w:tr>
      <w:tr w:rsidR="00D9754D" w14:paraId="4BE0EF75" w14:textId="77777777" w:rsidTr="00DA5A43">
        <w:trPr>
          <w:cantSplit/>
          <w:jc w:val="center"/>
        </w:trPr>
        <w:tc>
          <w:tcPr>
            <w:tcW w:w="761" w:type="pct"/>
            <w:tcBorders>
              <w:right w:val="single" w:sz="8" w:space="0" w:color="D9D9D9"/>
            </w:tcBorders>
            <w:shd w:val="clear" w:color="auto" w:fill="FFFFFF"/>
            <w:tcMar>
              <w:top w:w="0" w:type="dxa"/>
              <w:left w:w="0" w:type="dxa"/>
              <w:bottom w:w="0" w:type="dxa"/>
              <w:right w:w="0" w:type="dxa"/>
            </w:tcMar>
            <w:vAlign w:val="center"/>
          </w:tcPr>
          <w:p w14:paraId="27590038" w14:textId="77777777" w:rsidR="00D9754D" w:rsidRDefault="00CE2957">
            <w:pPr>
              <w:spacing w:before="40" w:after="40"/>
              <w:ind w:left="100" w:right="100"/>
            </w:pPr>
            <w:r>
              <w:rPr>
                <w:rFonts w:ascii="Arial" w:eastAsia="Arial" w:hAnsi="Arial" w:cs="Arial"/>
                <w:b/>
                <w:color w:val="111111"/>
                <w:sz w:val="14"/>
                <w:szCs w:val="14"/>
              </w:rPr>
              <w:t xml:space="preserve">Primaria o </w:t>
            </w:r>
            <w:proofErr w:type="spellStart"/>
            <w:r>
              <w:rPr>
                <w:rFonts w:ascii="Arial" w:eastAsia="Arial" w:hAnsi="Arial" w:cs="Arial"/>
                <w:b/>
                <w:color w:val="111111"/>
                <w:sz w:val="14"/>
                <w:szCs w:val="14"/>
              </w:rPr>
              <w:t>menos</w:t>
            </w:r>
            <w:proofErr w:type="spellEnd"/>
          </w:p>
        </w:tc>
        <w:tc>
          <w:tcPr>
            <w:tcW w:w="440" w:type="pct"/>
            <w:tcBorders>
              <w:left w:val="single" w:sz="8" w:space="0" w:color="D9D9D9"/>
            </w:tcBorders>
            <w:shd w:val="clear" w:color="auto" w:fill="FFFFFF"/>
            <w:tcMar>
              <w:top w:w="0" w:type="dxa"/>
              <w:left w:w="0" w:type="dxa"/>
              <w:bottom w:w="0" w:type="dxa"/>
              <w:right w:w="0" w:type="dxa"/>
            </w:tcMar>
            <w:vAlign w:val="center"/>
          </w:tcPr>
          <w:p w14:paraId="1C6A1BDE" w14:textId="77777777" w:rsidR="00D9754D" w:rsidRDefault="00CE2957">
            <w:pPr>
              <w:spacing w:before="40" w:after="40"/>
              <w:ind w:left="100" w:right="100"/>
              <w:jc w:val="right"/>
            </w:pPr>
            <w:r>
              <w:rPr>
                <w:rFonts w:ascii="Arial" w:eastAsia="Arial" w:hAnsi="Arial" w:cs="Arial"/>
                <w:color w:val="111111"/>
                <w:sz w:val="14"/>
                <w:szCs w:val="14"/>
              </w:rPr>
              <w:t>437,840</w:t>
            </w:r>
          </w:p>
        </w:tc>
        <w:tc>
          <w:tcPr>
            <w:tcW w:w="440" w:type="pct"/>
            <w:shd w:val="clear" w:color="auto" w:fill="FFFFFF"/>
            <w:tcMar>
              <w:top w:w="0" w:type="dxa"/>
              <w:left w:w="0" w:type="dxa"/>
              <w:bottom w:w="0" w:type="dxa"/>
              <w:right w:w="0" w:type="dxa"/>
            </w:tcMar>
            <w:vAlign w:val="center"/>
          </w:tcPr>
          <w:p w14:paraId="2DBBDDFB" w14:textId="77777777" w:rsidR="00D9754D" w:rsidRDefault="00CE2957">
            <w:pPr>
              <w:spacing w:before="40" w:after="40"/>
              <w:ind w:left="100" w:right="100"/>
              <w:jc w:val="right"/>
            </w:pPr>
            <w:r>
              <w:rPr>
                <w:rFonts w:ascii="Arial" w:eastAsia="Arial" w:hAnsi="Arial" w:cs="Arial"/>
                <w:color w:val="111111"/>
                <w:sz w:val="14"/>
                <w:szCs w:val="14"/>
              </w:rPr>
              <w:t>268,998</w:t>
            </w:r>
          </w:p>
        </w:tc>
        <w:tc>
          <w:tcPr>
            <w:tcW w:w="505" w:type="pct"/>
            <w:tcBorders>
              <w:right w:val="single" w:sz="8" w:space="0" w:color="D9D9D9"/>
            </w:tcBorders>
            <w:shd w:val="clear" w:color="auto" w:fill="FFFFFF"/>
            <w:tcMar>
              <w:top w:w="0" w:type="dxa"/>
              <w:left w:w="0" w:type="dxa"/>
              <w:bottom w:w="0" w:type="dxa"/>
              <w:right w:w="0" w:type="dxa"/>
            </w:tcMar>
            <w:vAlign w:val="center"/>
          </w:tcPr>
          <w:p w14:paraId="1B3FA0DB" w14:textId="77777777" w:rsidR="00D9754D" w:rsidRDefault="00CE2957">
            <w:pPr>
              <w:spacing w:before="40" w:after="40"/>
              <w:ind w:left="100" w:right="100"/>
              <w:jc w:val="right"/>
            </w:pPr>
            <w:r>
              <w:rPr>
                <w:rFonts w:ascii="Arial" w:eastAsia="Arial" w:hAnsi="Arial" w:cs="Arial"/>
                <w:color w:val="111111"/>
                <w:sz w:val="14"/>
                <w:szCs w:val="14"/>
              </w:rPr>
              <w:t>-38.6%</w:t>
            </w:r>
          </w:p>
        </w:tc>
        <w:tc>
          <w:tcPr>
            <w:tcW w:w="524" w:type="pct"/>
            <w:tcBorders>
              <w:left w:val="single" w:sz="8" w:space="0" w:color="D9D9D9"/>
            </w:tcBorders>
            <w:shd w:val="clear" w:color="auto" w:fill="FFFFFF"/>
            <w:tcMar>
              <w:top w:w="0" w:type="dxa"/>
              <w:left w:w="0" w:type="dxa"/>
              <w:bottom w:w="0" w:type="dxa"/>
              <w:right w:w="0" w:type="dxa"/>
            </w:tcMar>
            <w:vAlign w:val="center"/>
          </w:tcPr>
          <w:p w14:paraId="730AADA6" w14:textId="77777777" w:rsidR="00D9754D" w:rsidRDefault="00CE2957">
            <w:pPr>
              <w:spacing w:before="40" w:after="40"/>
              <w:ind w:left="100" w:right="100"/>
              <w:jc w:val="right"/>
            </w:pPr>
            <w:r>
              <w:rPr>
                <w:rFonts w:ascii="Arial" w:eastAsia="Arial" w:hAnsi="Arial" w:cs="Arial"/>
                <w:color w:val="111111"/>
                <w:sz w:val="14"/>
                <w:szCs w:val="14"/>
              </w:rPr>
              <w:t>30,867</w:t>
            </w:r>
          </w:p>
        </w:tc>
        <w:tc>
          <w:tcPr>
            <w:tcW w:w="440" w:type="pct"/>
            <w:shd w:val="clear" w:color="auto" w:fill="FFFFFF"/>
            <w:tcMar>
              <w:top w:w="0" w:type="dxa"/>
              <w:left w:w="0" w:type="dxa"/>
              <w:bottom w:w="0" w:type="dxa"/>
              <w:right w:w="0" w:type="dxa"/>
            </w:tcMar>
            <w:vAlign w:val="center"/>
          </w:tcPr>
          <w:p w14:paraId="7BB4AD11" w14:textId="77777777" w:rsidR="00D9754D" w:rsidRDefault="00CE2957">
            <w:pPr>
              <w:spacing w:before="40" w:after="40"/>
              <w:ind w:left="100" w:right="100"/>
              <w:jc w:val="right"/>
            </w:pPr>
            <w:r>
              <w:rPr>
                <w:rFonts w:ascii="Arial" w:eastAsia="Arial" w:hAnsi="Arial" w:cs="Arial"/>
                <w:color w:val="111111"/>
                <w:sz w:val="14"/>
                <w:szCs w:val="14"/>
              </w:rPr>
              <w:t>41,600</w:t>
            </w:r>
          </w:p>
        </w:tc>
        <w:tc>
          <w:tcPr>
            <w:tcW w:w="505" w:type="pct"/>
            <w:tcBorders>
              <w:right w:val="single" w:sz="8" w:space="0" w:color="D9D9D9"/>
            </w:tcBorders>
            <w:shd w:val="clear" w:color="auto" w:fill="FFFFFF"/>
            <w:tcMar>
              <w:top w:w="0" w:type="dxa"/>
              <w:left w:w="0" w:type="dxa"/>
              <w:bottom w:w="0" w:type="dxa"/>
              <w:right w:w="0" w:type="dxa"/>
            </w:tcMar>
            <w:vAlign w:val="center"/>
          </w:tcPr>
          <w:p w14:paraId="5D605771" w14:textId="77777777" w:rsidR="00D9754D" w:rsidRDefault="00CE2957">
            <w:pPr>
              <w:spacing w:before="40" w:after="40"/>
              <w:ind w:left="100" w:right="100"/>
              <w:jc w:val="right"/>
            </w:pPr>
            <w:r>
              <w:rPr>
                <w:rFonts w:ascii="Arial" w:eastAsia="Arial" w:hAnsi="Arial" w:cs="Arial"/>
                <w:color w:val="111111"/>
                <w:sz w:val="14"/>
                <w:szCs w:val="14"/>
              </w:rPr>
              <w:t>34.8%</w:t>
            </w:r>
          </w:p>
        </w:tc>
        <w:tc>
          <w:tcPr>
            <w:tcW w:w="440" w:type="pct"/>
            <w:tcBorders>
              <w:left w:val="single" w:sz="8" w:space="0" w:color="D9D9D9"/>
            </w:tcBorders>
            <w:shd w:val="clear" w:color="auto" w:fill="FFFFFF"/>
            <w:tcMar>
              <w:top w:w="0" w:type="dxa"/>
              <w:left w:w="0" w:type="dxa"/>
              <w:bottom w:w="0" w:type="dxa"/>
              <w:right w:w="0" w:type="dxa"/>
            </w:tcMar>
            <w:vAlign w:val="center"/>
          </w:tcPr>
          <w:p w14:paraId="5407640A" w14:textId="77777777" w:rsidR="00D9754D" w:rsidRDefault="00CE2957">
            <w:pPr>
              <w:spacing w:before="40" w:after="40"/>
              <w:ind w:left="100" w:right="100"/>
              <w:jc w:val="right"/>
            </w:pPr>
            <w:r>
              <w:rPr>
                <w:rFonts w:ascii="Arial" w:eastAsia="Arial" w:hAnsi="Arial" w:cs="Arial"/>
                <w:color w:val="111111"/>
                <w:sz w:val="14"/>
                <w:szCs w:val="14"/>
              </w:rPr>
              <w:t>537,618</w:t>
            </w:r>
          </w:p>
        </w:tc>
        <w:tc>
          <w:tcPr>
            <w:tcW w:w="440" w:type="pct"/>
            <w:shd w:val="clear" w:color="auto" w:fill="FFFFFF"/>
            <w:tcMar>
              <w:top w:w="0" w:type="dxa"/>
              <w:left w:w="0" w:type="dxa"/>
              <w:bottom w:w="0" w:type="dxa"/>
              <w:right w:w="0" w:type="dxa"/>
            </w:tcMar>
            <w:vAlign w:val="center"/>
          </w:tcPr>
          <w:p w14:paraId="3A95B33E" w14:textId="77777777" w:rsidR="00D9754D" w:rsidRDefault="00CE2957">
            <w:pPr>
              <w:spacing w:before="40" w:after="40"/>
              <w:ind w:left="100" w:right="100"/>
              <w:jc w:val="right"/>
            </w:pPr>
            <w:r>
              <w:rPr>
                <w:rFonts w:ascii="Arial" w:eastAsia="Arial" w:hAnsi="Arial" w:cs="Arial"/>
                <w:color w:val="111111"/>
                <w:sz w:val="14"/>
                <w:szCs w:val="14"/>
              </w:rPr>
              <w:t>643,015</w:t>
            </w:r>
          </w:p>
        </w:tc>
        <w:tc>
          <w:tcPr>
            <w:tcW w:w="505" w:type="pct"/>
            <w:shd w:val="clear" w:color="auto" w:fill="FFFFFF"/>
            <w:tcMar>
              <w:top w:w="0" w:type="dxa"/>
              <w:left w:w="0" w:type="dxa"/>
              <w:bottom w:w="0" w:type="dxa"/>
              <w:right w:w="0" w:type="dxa"/>
            </w:tcMar>
            <w:vAlign w:val="center"/>
          </w:tcPr>
          <w:p w14:paraId="1C0A22AC" w14:textId="77777777" w:rsidR="00D9754D" w:rsidRDefault="00CE2957">
            <w:pPr>
              <w:spacing w:before="40" w:after="40"/>
              <w:ind w:left="100" w:right="100"/>
              <w:jc w:val="right"/>
            </w:pPr>
            <w:r>
              <w:rPr>
                <w:rFonts w:ascii="Arial" w:eastAsia="Arial" w:hAnsi="Arial" w:cs="Arial"/>
                <w:color w:val="111111"/>
                <w:sz w:val="14"/>
                <w:szCs w:val="14"/>
              </w:rPr>
              <w:t>19.6%</w:t>
            </w:r>
          </w:p>
        </w:tc>
      </w:tr>
      <w:tr w:rsidR="00D9754D" w14:paraId="6649186B" w14:textId="77777777" w:rsidTr="00DA5A43">
        <w:trPr>
          <w:cantSplit/>
          <w:jc w:val="center"/>
        </w:trPr>
        <w:tc>
          <w:tcPr>
            <w:tcW w:w="761" w:type="pct"/>
            <w:tcBorders>
              <w:right w:val="single" w:sz="8" w:space="0" w:color="D9D9D9"/>
            </w:tcBorders>
            <w:shd w:val="clear" w:color="auto" w:fill="F2F2F2"/>
            <w:tcMar>
              <w:top w:w="0" w:type="dxa"/>
              <w:left w:w="0" w:type="dxa"/>
              <w:bottom w:w="0" w:type="dxa"/>
              <w:right w:w="0" w:type="dxa"/>
            </w:tcMar>
            <w:vAlign w:val="center"/>
          </w:tcPr>
          <w:p w14:paraId="0F4F4694" w14:textId="77777777" w:rsidR="00D9754D" w:rsidRDefault="00CE2957">
            <w:pPr>
              <w:spacing w:before="40" w:after="40"/>
              <w:ind w:left="100" w:right="100"/>
            </w:pPr>
            <w:proofErr w:type="spellStart"/>
            <w:r>
              <w:rPr>
                <w:rFonts w:ascii="Arial" w:eastAsia="Arial" w:hAnsi="Arial" w:cs="Arial"/>
                <w:b/>
                <w:color w:val="111111"/>
                <w:sz w:val="14"/>
                <w:szCs w:val="14"/>
              </w:rPr>
              <w:t>Secundaria</w:t>
            </w:r>
            <w:proofErr w:type="spellEnd"/>
          </w:p>
        </w:tc>
        <w:tc>
          <w:tcPr>
            <w:tcW w:w="440" w:type="pct"/>
            <w:tcBorders>
              <w:left w:val="single" w:sz="8" w:space="0" w:color="D9D9D9"/>
            </w:tcBorders>
            <w:shd w:val="clear" w:color="auto" w:fill="F2F2F2"/>
            <w:tcMar>
              <w:top w:w="0" w:type="dxa"/>
              <w:left w:w="0" w:type="dxa"/>
              <w:bottom w:w="0" w:type="dxa"/>
              <w:right w:w="0" w:type="dxa"/>
            </w:tcMar>
            <w:vAlign w:val="center"/>
          </w:tcPr>
          <w:p w14:paraId="6F5364E5" w14:textId="77777777" w:rsidR="00D9754D" w:rsidRDefault="00CE2957">
            <w:pPr>
              <w:spacing w:before="40" w:after="40"/>
              <w:ind w:left="100" w:right="100"/>
              <w:jc w:val="right"/>
            </w:pPr>
            <w:r>
              <w:rPr>
                <w:rFonts w:ascii="Arial" w:eastAsia="Arial" w:hAnsi="Arial" w:cs="Arial"/>
                <w:color w:val="111111"/>
                <w:sz w:val="14"/>
                <w:szCs w:val="14"/>
              </w:rPr>
              <w:t>1,575,428</w:t>
            </w:r>
          </w:p>
        </w:tc>
        <w:tc>
          <w:tcPr>
            <w:tcW w:w="440" w:type="pct"/>
            <w:shd w:val="clear" w:color="auto" w:fill="F2F2F2"/>
            <w:tcMar>
              <w:top w:w="0" w:type="dxa"/>
              <w:left w:w="0" w:type="dxa"/>
              <w:bottom w:w="0" w:type="dxa"/>
              <w:right w:w="0" w:type="dxa"/>
            </w:tcMar>
            <w:vAlign w:val="center"/>
          </w:tcPr>
          <w:p w14:paraId="6D5289D1" w14:textId="77777777" w:rsidR="00D9754D" w:rsidRDefault="00CE2957">
            <w:pPr>
              <w:spacing w:before="40" w:after="40"/>
              <w:ind w:left="100" w:right="100"/>
              <w:jc w:val="right"/>
            </w:pPr>
            <w:r>
              <w:rPr>
                <w:rFonts w:ascii="Arial" w:eastAsia="Arial" w:hAnsi="Arial" w:cs="Arial"/>
                <w:color w:val="111111"/>
                <w:sz w:val="14"/>
                <w:szCs w:val="14"/>
              </w:rPr>
              <w:t>1,169,738</w:t>
            </w:r>
          </w:p>
        </w:tc>
        <w:tc>
          <w:tcPr>
            <w:tcW w:w="505" w:type="pct"/>
            <w:tcBorders>
              <w:right w:val="single" w:sz="8" w:space="0" w:color="D9D9D9"/>
            </w:tcBorders>
            <w:shd w:val="clear" w:color="auto" w:fill="F2F2F2"/>
            <w:tcMar>
              <w:top w:w="0" w:type="dxa"/>
              <w:left w:w="0" w:type="dxa"/>
              <w:bottom w:w="0" w:type="dxa"/>
              <w:right w:w="0" w:type="dxa"/>
            </w:tcMar>
            <w:vAlign w:val="center"/>
          </w:tcPr>
          <w:p w14:paraId="127E1509" w14:textId="77777777" w:rsidR="00D9754D" w:rsidRDefault="00CE2957">
            <w:pPr>
              <w:spacing w:before="40" w:after="40"/>
              <w:ind w:left="100" w:right="100"/>
              <w:jc w:val="right"/>
            </w:pPr>
            <w:r>
              <w:rPr>
                <w:rFonts w:ascii="Arial" w:eastAsia="Arial" w:hAnsi="Arial" w:cs="Arial"/>
                <w:color w:val="111111"/>
                <w:sz w:val="14"/>
                <w:szCs w:val="14"/>
              </w:rPr>
              <w:t>-25.8%</w:t>
            </w:r>
          </w:p>
        </w:tc>
        <w:tc>
          <w:tcPr>
            <w:tcW w:w="524" w:type="pct"/>
            <w:tcBorders>
              <w:left w:val="single" w:sz="8" w:space="0" w:color="D9D9D9"/>
            </w:tcBorders>
            <w:shd w:val="clear" w:color="auto" w:fill="F2F2F2"/>
            <w:tcMar>
              <w:top w:w="0" w:type="dxa"/>
              <w:left w:w="0" w:type="dxa"/>
              <w:bottom w:w="0" w:type="dxa"/>
              <w:right w:w="0" w:type="dxa"/>
            </w:tcMar>
            <w:vAlign w:val="center"/>
          </w:tcPr>
          <w:p w14:paraId="09F9A25C" w14:textId="77777777" w:rsidR="00D9754D" w:rsidRDefault="00CE2957">
            <w:pPr>
              <w:spacing w:before="40" w:after="40"/>
              <w:ind w:left="100" w:right="100"/>
              <w:jc w:val="right"/>
            </w:pPr>
            <w:r>
              <w:rPr>
                <w:rFonts w:ascii="Arial" w:eastAsia="Arial" w:hAnsi="Arial" w:cs="Arial"/>
                <w:color w:val="111111"/>
                <w:sz w:val="14"/>
                <w:szCs w:val="14"/>
              </w:rPr>
              <w:t>151,327</w:t>
            </w:r>
          </w:p>
        </w:tc>
        <w:tc>
          <w:tcPr>
            <w:tcW w:w="440" w:type="pct"/>
            <w:shd w:val="clear" w:color="auto" w:fill="F2F2F2"/>
            <w:tcMar>
              <w:top w:w="0" w:type="dxa"/>
              <w:left w:w="0" w:type="dxa"/>
              <w:bottom w:w="0" w:type="dxa"/>
              <w:right w:w="0" w:type="dxa"/>
            </w:tcMar>
            <w:vAlign w:val="center"/>
          </w:tcPr>
          <w:p w14:paraId="48D65DB7" w14:textId="77777777" w:rsidR="00D9754D" w:rsidRDefault="00CE2957">
            <w:pPr>
              <w:spacing w:before="40" w:after="40"/>
              <w:ind w:left="100" w:right="100"/>
              <w:jc w:val="right"/>
            </w:pPr>
            <w:r>
              <w:rPr>
                <w:rFonts w:ascii="Arial" w:eastAsia="Arial" w:hAnsi="Arial" w:cs="Arial"/>
                <w:color w:val="111111"/>
                <w:sz w:val="14"/>
                <w:szCs w:val="14"/>
              </w:rPr>
              <w:t>209,987</w:t>
            </w:r>
          </w:p>
        </w:tc>
        <w:tc>
          <w:tcPr>
            <w:tcW w:w="505" w:type="pct"/>
            <w:tcBorders>
              <w:right w:val="single" w:sz="8" w:space="0" w:color="D9D9D9"/>
            </w:tcBorders>
            <w:shd w:val="clear" w:color="auto" w:fill="F2F2F2"/>
            <w:tcMar>
              <w:top w:w="0" w:type="dxa"/>
              <w:left w:w="0" w:type="dxa"/>
              <w:bottom w:w="0" w:type="dxa"/>
              <w:right w:w="0" w:type="dxa"/>
            </w:tcMar>
            <w:vAlign w:val="center"/>
          </w:tcPr>
          <w:p w14:paraId="62D61B75" w14:textId="77777777" w:rsidR="00D9754D" w:rsidRDefault="00CE2957">
            <w:pPr>
              <w:spacing w:before="40" w:after="40"/>
              <w:ind w:left="100" w:right="100"/>
              <w:jc w:val="right"/>
            </w:pPr>
            <w:r>
              <w:rPr>
                <w:rFonts w:ascii="Arial" w:eastAsia="Arial" w:hAnsi="Arial" w:cs="Arial"/>
                <w:color w:val="111111"/>
                <w:sz w:val="14"/>
                <w:szCs w:val="14"/>
              </w:rPr>
              <w:t>38.8%</w:t>
            </w:r>
          </w:p>
        </w:tc>
        <w:tc>
          <w:tcPr>
            <w:tcW w:w="440" w:type="pct"/>
            <w:tcBorders>
              <w:left w:val="single" w:sz="8" w:space="0" w:color="D9D9D9"/>
            </w:tcBorders>
            <w:shd w:val="clear" w:color="auto" w:fill="F2F2F2"/>
            <w:tcMar>
              <w:top w:w="0" w:type="dxa"/>
              <w:left w:w="0" w:type="dxa"/>
              <w:bottom w:w="0" w:type="dxa"/>
              <w:right w:w="0" w:type="dxa"/>
            </w:tcMar>
            <w:vAlign w:val="center"/>
          </w:tcPr>
          <w:p w14:paraId="4AE83983" w14:textId="77777777" w:rsidR="00D9754D" w:rsidRDefault="00CE2957">
            <w:pPr>
              <w:spacing w:before="40" w:after="40"/>
              <w:ind w:left="100" w:right="100"/>
              <w:jc w:val="right"/>
            </w:pPr>
            <w:r>
              <w:rPr>
                <w:rFonts w:ascii="Arial" w:eastAsia="Arial" w:hAnsi="Arial" w:cs="Arial"/>
                <w:color w:val="111111"/>
                <w:sz w:val="14"/>
                <w:szCs w:val="14"/>
              </w:rPr>
              <w:t>972,265</w:t>
            </w:r>
          </w:p>
        </w:tc>
        <w:tc>
          <w:tcPr>
            <w:tcW w:w="440" w:type="pct"/>
            <w:shd w:val="clear" w:color="auto" w:fill="F2F2F2"/>
            <w:tcMar>
              <w:top w:w="0" w:type="dxa"/>
              <w:left w:w="0" w:type="dxa"/>
              <w:bottom w:w="0" w:type="dxa"/>
              <w:right w:w="0" w:type="dxa"/>
            </w:tcMar>
            <w:vAlign w:val="center"/>
          </w:tcPr>
          <w:p w14:paraId="49F3208B" w14:textId="77777777" w:rsidR="00D9754D" w:rsidRDefault="00CE2957">
            <w:pPr>
              <w:spacing w:before="40" w:after="40"/>
              <w:ind w:left="100" w:right="100"/>
              <w:jc w:val="right"/>
            </w:pPr>
            <w:r>
              <w:rPr>
                <w:rFonts w:ascii="Arial" w:eastAsia="Arial" w:hAnsi="Arial" w:cs="Arial"/>
                <w:color w:val="111111"/>
                <w:sz w:val="14"/>
                <w:szCs w:val="14"/>
              </w:rPr>
              <w:t>1,372,798</w:t>
            </w:r>
          </w:p>
        </w:tc>
        <w:tc>
          <w:tcPr>
            <w:tcW w:w="505" w:type="pct"/>
            <w:shd w:val="clear" w:color="auto" w:fill="F2F2F2"/>
            <w:tcMar>
              <w:top w:w="0" w:type="dxa"/>
              <w:left w:w="0" w:type="dxa"/>
              <w:bottom w:w="0" w:type="dxa"/>
              <w:right w:w="0" w:type="dxa"/>
            </w:tcMar>
            <w:vAlign w:val="center"/>
          </w:tcPr>
          <w:p w14:paraId="0F34590E" w14:textId="77777777" w:rsidR="00D9754D" w:rsidRDefault="00CE2957">
            <w:pPr>
              <w:spacing w:before="40" w:after="40"/>
              <w:ind w:left="100" w:right="100"/>
              <w:jc w:val="right"/>
            </w:pPr>
            <w:r>
              <w:rPr>
                <w:rFonts w:ascii="Arial" w:eastAsia="Arial" w:hAnsi="Arial" w:cs="Arial"/>
                <w:color w:val="111111"/>
                <w:sz w:val="14"/>
                <w:szCs w:val="14"/>
              </w:rPr>
              <w:t>41.2%</w:t>
            </w:r>
          </w:p>
        </w:tc>
      </w:tr>
      <w:tr w:rsidR="00D9754D" w14:paraId="2E198D4F" w14:textId="77777777" w:rsidTr="00DA5A43">
        <w:trPr>
          <w:cantSplit/>
          <w:jc w:val="center"/>
        </w:trPr>
        <w:tc>
          <w:tcPr>
            <w:tcW w:w="761" w:type="pct"/>
            <w:tcBorders>
              <w:right w:val="single" w:sz="8" w:space="0" w:color="D9D9D9"/>
            </w:tcBorders>
            <w:shd w:val="clear" w:color="auto" w:fill="FFFFFF"/>
            <w:tcMar>
              <w:top w:w="0" w:type="dxa"/>
              <w:left w:w="0" w:type="dxa"/>
              <w:bottom w:w="0" w:type="dxa"/>
              <w:right w:w="0" w:type="dxa"/>
            </w:tcMar>
            <w:vAlign w:val="center"/>
          </w:tcPr>
          <w:p w14:paraId="1D3AB2C4" w14:textId="77777777" w:rsidR="00D9754D" w:rsidRDefault="00CE2957">
            <w:pPr>
              <w:spacing w:before="40" w:after="40"/>
              <w:ind w:left="100" w:right="100"/>
            </w:pPr>
            <w:r>
              <w:rPr>
                <w:rFonts w:ascii="Arial" w:eastAsia="Arial" w:hAnsi="Arial" w:cs="Arial"/>
                <w:b/>
                <w:color w:val="111111"/>
                <w:sz w:val="14"/>
                <w:szCs w:val="14"/>
              </w:rPr>
              <w:t>Técnica</w:t>
            </w:r>
          </w:p>
        </w:tc>
        <w:tc>
          <w:tcPr>
            <w:tcW w:w="440" w:type="pct"/>
            <w:tcBorders>
              <w:left w:val="single" w:sz="8" w:space="0" w:color="D9D9D9"/>
            </w:tcBorders>
            <w:shd w:val="clear" w:color="auto" w:fill="FFFFFF"/>
            <w:tcMar>
              <w:top w:w="0" w:type="dxa"/>
              <w:left w:w="0" w:type="dxa"/>
              <w:bottom w:w="0" w:type="dxa"/>
              <w:right w:w="0" w:type="dxa"/>
            </w:tcMar>
            <w:vAlign w:val="center"/>
          </w:tcPr>
          <w:p w14:paraId="6FE8C046" w14:textId="77777777" w:rsidR="00D9754D" w:rsidRDefault="00CE2957">
            <w:pPr>
              <w:spacing w:before="40" w:after="40"/>
              <w:ind w:left="100" w:right="100"/>
              <w:jc w:val="right"/>
            </w:pPr>
            <w:r>
              <w:rPr>
                <w:rFonts w:ascii="Arial" w:eastAsia="Arial" w:hAnsi="Arial" w:cs="Arial"/>
                <w:color w:val="111111"/>
                <w:sz w:val="14"/>
                <w:szCs w:val="14"/>
              </w:rPr>
              <w:t>620,258</w:t>
            </w:r>
          </w:p>
        </w:tc>
        <w:tc>
          <w:tcPr>
            <w:tcW w:w="440" w:type="pct"/>
            <w:shd w:val="clear" w:color="auto" w:fill="FFFFFF"/>
            <w:tcMar>
              <w:top w:w="0" w:type="dxa"/>
              <w:left w:w="0" w:type="dxa"/>
              <w:bottom w:w="0" w:type="dxa"/>
              <w:right w:w="0" w:type="dxa"/>
            </w:tcMar>
            <w:vAlign w:val="center"/>
          </w:tcPr>
          <w:p w14:paraId="4F252AAD" w14:textId="77777777" w:rsidR="00D9754D" w:rsidRDefault="00CE2957">
            <w:pPr>
              <w:spacing w:before="40" w:after="40"/>
              <w:ind w:left="100" w:right="100"/>
              <w:jc w:val="right"/>
            </w:pPr>
            <w:r>
              <w:rPr>
                <w:rFonts w:ascii="Arial" w:eastAsia="Arial" w:hAnsi="Arial" w:cs="Arial"/>
                <w:color w:val="111111"/>
                <w:sz w:val="14"/>
                <w:szCs w:val="14"/>
              </w:rPr>
              <w:t>532,030</w:t>
            </w:r>
          </w:p>
        </w:tc>
        <w:tc>
          <w:tcPr>
            <w:tcW w:w="505" w:type="pct"/>
            <w:tcBorders>
              <w:right w:val="single" w:sz="8" w:space="0" w:color="D9D9D9"/>
            </w:tcBorders>
            <w:shd w:val="clear" w:color="auto" w:fill="FFFFFF"/>
            <w:tcMar>
              <w:top w:w="0" w:type="dxa"/>
              <w:left w:w="0" w:type="dxa"/>
              <w:bottom w:w="0" w:type="dxa"/>
              <w:right w:w="0" w:type="dxa"/>
            </w:tcMar>
            <w:vAlign w:val="center"/>
          </w:tcPr>
          <w:p w14:paraId="5FE30264" w14:textId="77777777" w:rsidR="00D9754D" w:rsidRDefault="00CE2957">
            <w:pPr>
              <w:spacing w:before="40" w:after="40"/>
              <w:ind w:left="100" w:right="100"/>
              <w:jc w:val="right"/>
            </w:pPr>
            <w:r>
              <w:rPr>
                <w:rFonts w:ascii="Arial" w:eastAsia="Arial" w:hAnsi="Arial" w:cs="Arial"/>
                <w:color w:val="111111"/>
                <w:sz w:val="14"/>
                <w:szCs w:val="14"/>
              </w:rPr>
              <w:t>-14.2%</w:t>
            </w:r>
          </w:p>
        </w:tc>
        <w:tc>
          <w:tcPr>
            <w:tcW w:w="524" w:type="pct"/>
            <w:tcBorders>
              <w:left w:val="single" w:sz="8" w:space="0" w:color="D9D9D9"/>
            </w:tcBorders>
            <w:shd w:val="clear" w:color="auto" w:fill="FFFFFF"/>
            <w:tcMar>
              <w:top w:w="0" w:type="dxa"/>
              <w:left w:w="0" w:type="dxa"/>
              <w:bottom w:w="0" w:type="dxa"/>
              <w:right w:w="0" w:type="dxa"/>
            </w:tcMar>
            <w:vAlign w:val="center"/>
          </w:tcPr>
          <w:p w14:paraId="22DFA47A" w14:textId="77777777" w:rsidR="00D9754D" w:rsidRDefault="00CE2957">
            <w:pPr>
              <w:spacing w:before="40" w:after="40"/>
              <w:ind w:left="100" w:right="100"/>
              <w:jc w:val="right"/>
            </w:pPr>
            <w:r>
              <w:rPr>
                <w:rFonts w:ascii="Arial" w:eastAsia="Arial" w:hAnsi="Arial" w:cs="Arial"/>
                <w:color w:val="111111"/>
                <w:sz w:val="14"/>
                <w:szCs w:val="14"/>
              </w:rPr>
              <w:t>48,816</w:t>
            </w:r>
          </w:p>
        </w:tc>
        <w:tc>
          <w:tcPr>
            <w:tcW w:w="440" w:type="pct"/>
            <w:shd w:val="clear" w:color="auto" w:fill="FFFFFF"/>
            <w:tcMar>
              <w:top w:w="0" w:type="dxa"/>
              <w:left w:w="0" w:type="dxa"/>
              <w:bottom w:w="0" w:type="dxa"/>
              <w:right w:w="0" w:type="dxa"/>
            </w:tcMar>
            <w:vAlign w:val="center"/>
          </w:tcPr>
          <w:p w14:paraId="78B5903E" w14:textId="77777777" w:rsidR="00D9754D" w:rsidRDefault="00CE2957">
            <w:pPr>
              <w:spacing w:before="40" w:after="40"/>
              <w:ind w:left="100" w:right="100"/>
              <w:jc w:val="right"/>
            </w:pPr>
            <w:r>
              <w:rPr>
                <w:rFonts w:ascii="Arial" w:eastAsia="Arial" w:hAnsi="Arial" w:cs="Arial"/>
                <w:color w:val="111111"/>
                <w:sz w:val="14"/>
                <w:szCs w:val="14"/>
              </w:rPr>
              <w:t>92,023</w:t>
            </w:r>
          </w:p>
        </w:tc>
        <w:tc>
          <w:tcPr>
            <w:tcW w:w="505" w:type="pct"/>
            <w:tcBorders>
              <w:right w:val="single" w:sz="8" w:space="0" w:color="D9D9D9"/>
            </w:tcBorders>
            <w:shd w:val="clear" w:color="auto" w:fill="FFFFFF"/>
            <w:tcMar>
              <w:top w:w="0" w:type="dxa"/>
              <w:left w:w="0" w:type="dxa"/>
              <w:bottom w:w="0" w:type="dxa"/>
              <w:right w:w="0" w:type="dxa"/>
            </w:tcMar>
            <w:vAlign w:val="center"/>
          </w:tcPr>
          <w:p w14:paraId="686B9601" w14:textId="77777777" w:rsidR="00D9754D" w:rsidRDefault="00CE2957">
            <w:pPr>
              <w:spacing w:before="40" w:after="40"/>
              <w:ind w:left="100" w:right="100"/>
              <w:jc w:val="right"/>
            </w:pPr>
            <w:r>
              <w:rPr>
                <w:rFonts w:ascii="Arial" w:eastAsia="Arial" w:hAnsi="Arial" w:cs="Arial"/>
                <w:color w:val="111111"/>
                <w:sz w:val="14"/>
                <w:szCs w:val="14"/>
              </w:rPr>
              <w:t>88.5%</w:t>
            </w:r>
          </w:p>
        </w:tc>
        <w:tc>
          <w:tcPr>
            <w:tcW w:w="440" w:type="pct"/>
            <w:tcBorders>
              <w:left w:val="single" w:sz="8" w:space="0" w:color="D9D9D9"/>
            </w:tcBorders>
            <w:shd w:val="clear" w:color="auto" w:fill="FFFFFF"/>
            <w:tcMar>
              <w:top w:w="0" w:type="dxa"/>
              <w:left w:w="0" w:type="dxa"/>
              <w:bottom w:w="0" w:type="dxa"/>
              <w:right w:w="0" w:type="dxa"/>
            </w:tcMar>
            <w:vAlign w:val="center"/>
          </w:tcPr>
          <w:p w14:paraId="02668B65" w14:textId="77777777" w:rsidR="00D9754D" w:rsidRDefault="00CE2957">
            <w:pPr>
              <w:spacing w:before="40" w:after="40"/>
              <w:ind w:left="100" w:right="100"/>
              <w:jc w:val="right"/>
            </w:pPr>
            <w:r>
              <w:rPr>
                <w:rFonts w:ascii="Arial" w:eastAsia="Arial" w:hAnsi="Arial" w:cs="Arial"/>
                <w:color w:val="111111"/>
                <w:sz w:val="14"/>
                <w:szCs w:val="14"/>
              </w:rPr>
              <w:t>218,895</w:t>
            </w:r>
          </w:p>
        </w:tc>
        <w:tc>
          <w:tcPr>
            <w:tcW w:w="440" w:type="pct"/>
            <w:shd w:val="clear" w:color="auto" w:fill="FFFFFF"/>
            <w:tcMar>
              <w:top w:w="0" w:type="dxa"/>
              <w:left w:w="0" w:type="dxa"/>
              <w:bottom w:w="0" w:type="dxa"/>
              <w:right w:w="0" w:type="dxa"/>
            </w:tcMar>
            <w:vAlign w:val="center"/>
          </w:tcPr>
          <w:p w14:paraId="32FE4BCD" w14:textId="77777777" w:rsidR="00D9754D" w:rsidRDefault="00CE2957">
            <w:pPr>
              <w:spacing w:before="40" w:after="40"/>
              <w:ind w:left="100" w:right="100"/>
              <w:jc w:val="right"/>
            </w:pPr>
            <w:r>
              <w:rPr>
                <w:rFonts w:ascii="Arial" w:eastAsia="Arial" w:hAnsi="Arial" w:cs="Arial"/>
                <w:color w:val="111111"/>
                <w:sz w:val="14"/>
                <w:szCs w:val="14"/>
              </w:rPr>
              <w:t>320,333</w:t>
            </w:r>
          </w:p>
        </w:tc>
        <w:tc>
          <w:tcPr>
            <w:tcW w:w="505" w:type="pct"/>
            <w:shd w:val="clear" w:color="auto" w:fill="FFFFFF"/>
            <w:tcMar>
              <w:top w:w="0" w:type="dxa"/>
              <w:left w:w="0" w:type="dxa"/>
              <w:bottom w:w="0" w:type="dxa"/>
              <w:right w:w="0" w:type="dxa"/>
            </w:tcMar>
            <w:vAlign w:val="center"/>
          </w:tcPr>
          <w:p w14:paraId="60AED476" w14:textId="77777777" w:rsidR="00D9754D" w:rsidRDefault="00CE2957">
            <w:pPr>
              <w:spacing w:before="40" w:after="40"/>
              <w:ind w:left="100" w:right="100"/>
              <w:jc w:val="right"/>
            </w:pPr>
            <w:r>
              <w:rPr>
                <w:rFonts w:ascii="Arial" w:eastAsia="Arial" w:hAnsi="Arial" w:cs="Arial"/>
                <w:color w:val="111111"/>
                <w:sz w:val="14"/>
                <w:szCs w:val="14"/>
              </w:rPr>
              <w:t>46.3%</w:t>
            </w:r>
          </w:p>
        </w:tc>
      </w:tr>
      <w:tr w:rsidR="00D9754D" w14:paraId="5098D30C" w14:textId="77777777" w:rsidTr="00DA5A43">
        <w:trPr>
          <w:cantSplit/>
          <w:jc w:val="center"/>
        </w:trPr>
        <w:tc>
          <w:tcPr>
            <w:tcW w:w="761" w:type="pct"/>
            <w:tcBorders>
              <w:right w:val="single" w:sz="8" w:space="0" w:color="D9D9D9"/>
            </w:tcBorders>
            <w:shd w:val="clear" w:color="auto" w:fill="F2F2F2"/>
            <w:tcMar>
              <w:top w:w="0" w:type="dxa"/>
              <w:left w:w="0" w:type="dxa"/>
              <w:bottom w:w="0" w:type="dxa"/>
              <w:right w:w="0" w:type="dxa"/>
            </w:tcMar>
            <w:vAlign w:val="center"/>
          </w:tcPr>
          <w:p w14:paraId="254ECC65" w14:textId="77777777" w:rsidR="00D9754D" w:rsidRDefault="00CE2957">
            <w:pPr>
              <w:spacing w:before="40" w:after="40"/>
              <w:ind w:left="100" w:right="100"/>
            </w:pPr>
            <w:proofErr w:type="spellStart"/>
            <w:r>
              <w:rPr>
                <w:rFonts w:ascii="Arial" w:eastAsia="Arial" w:hAnsi="Arial" w:cs="Arial"/>
                <w:b/>
                <w:color w:val="111111"/>
                <w:sz w:val="14"/>
                <w:szCs w:val="14"/>
              </w:rPr>
              <w:t>Universitaria</w:t>
            </w:r>
            <w:proofErr w:type="spellEnd"/>
            <w:r>
              <w:rPr>
                <w:rFonts w:ascii="Arial" w:eastAsia="Arial" w:hAnsi="Arial" w:cs="Arial"/>
                <w:b/>
                <w:color w:val="111111"/>
                <w:sz w:val="14"/>
                <w:szCs w:val="14"/>
              </w:rPr>
              <w:t xml:space="preserve"> o </w:t>
            </w:r>
            <w:proofErr w:type="spellStart"/>
            <w:r>
              <w:rPr>
                <w:rFonts w:ascii="Arial" w:eastAsia="Arial" w:hAnsi="Arial" w:cs="Arial"/>
                <w:b/>
                <w:color w:val="111111"/>
                <w:sz w:val="14"/>
                <w:szCs w:val="14"/>
              </w:rPr>
              <w:t>más</w:t>
            </w:r>
            <w:proofErr w:type="spellEnd"/>
          </w:p>
        </w:tc>
        <w:tc>
          <w:tcPr>
            <w:tcW w:w="440" w:type="pct"/>
            <w:tcBorders>
              <w:left w:val="single" w:sz="8" w:space="0" w:color="D9D9D9"/>
            </w:tcBorders>
            <w:shd w:val="clear" w:color="auto" w:fill="F2F2F2"/>
            <w:tcMar>
              <w:top w:w="0" w:type="dxa"/>
              <w:left w:w="0" w:type="dxa"/>
              <w:bottom w:w="0" w:type="dxa"/>
              <w:right w:w="0" w:type="dxa"/>
            </w:tcMar>
            <w:vAlign w:val="center"/>
          </w:tcPr>
          <w:p w14:paraId="5B03F71C" w14:textId="77777777" w:rsidR="00D9754D" w:rsidRDefault="00CE2957">
            <w:pPr>
              <w:spacing w:before="40" w:after="40"/>
              <w:ind w:left="100" w:right="100"/>
              <w:jc w:val="right"/>
            </w:pPr>
            <w:r>
              <w:rPr>
                <w:rFonts w:ascii="Arial" w:eastAsia="Arial" w:hAnsi="Arial" w:cs="Arial"/>
                <w:color w:val="111111"/>
                <w:sz w:val="14"/>
                <w:szCs w:val="14"/>
              </w:rPr>
              <w:t>1,233,844</w:t>
            </w:r>
          </w:p>
        </w:tc>
        <w:tc>
          <w:tcPr>
            <w:tcW w:w="440" w:type="pct"/>
            <w:shd w:val="clear" w:color="auto" w:fill="F2F2F2"/>
            <w:tcMar>
              <w:top w:w="0" w:type="dxa"/>
              <w:left w:w="0" w:type="dxa"/>
              <w:bottom w:w="0" w:type="dxa"/>
              <w:right w:w="0" w:type="dxa"/>
            </w:tcMar>
            <w:vAlign w:val="center"/>
          </w:tcPr>
          <w:p w14:paraId="422BE4C2" w14:textId="77777777" w:rsidR="00D9754D" w:rsidRDefault="00CE2957">
            <w:pPr>
              <w:spacing w:before="40" w:after="40"/>
              <w:ind w:left="100" w:right="100"/>
              <w:jc w:val="right"/>
            </w:pPr>
            <w:r>
              <w:rPr>
                <w:rFonts w:ascii="Arial" w:eastAsia="Arial" w:hAnsi="Arial" w:cs="Arial"/>
                <w:color w:val="111111"/>
                <w:sz w:val="14"/>
                <w:szCs w:val="14"/>
              </w:rPr>
              <w:t>1,104,266</w:t>
            </w:r>
          </w:p>
        </w:tc>
        <w:tc>
          <w:tcPr>
            <w:tcW w:w="505" w:type="pct"/>
            <w:tcBorders>
              <w:right w:val="single" w:sz="8" w:space="0" w:color="D9D9D9"/>
            </w:tcBorders>
            <w:shd w:val="clear" w:color="auto" w:fill="F2F2F2"/>
            <w:tcMar>
              <w:top w:w="0" w:type="dxa"/>
              <w:left w:w="0" w:type="dxa"/>
              <w:bottom w:w="0" w:type="dxa"/>
              <w:right w:w="0" w:type="dxa"/>
            </w:tcMar>
            <w:vAlign w:val="center"/>
          </w:tcPr>
          <w:p w14:paraId="28F3BC6C" w14:textId="77777777" w:rsidR="00D9754D" w:rsidRDefault="00CE2957">
            <w:pPr>
              <w:spacing w:before="40" w:after="40"/>
              <w:ind w:left="100" w:right="100"/>
              <w:jc w:val="right"/>
            </w:pPr>
            <w:r>
              <w:rPr>
                <w:rFonts w:ascii="Arial" w:eastAsia="Arial" w:hAnsi="Arial" w:cs="Arial"/>
                <w:color w:val="111111"/>
                <w:sz w:val="14"/>
                <w:szCs w:val="14"/>
              </w:rPr>
              <w:t>-10.5%</w:t>
            </w:r>
          </w:p>
        </w:tc>
        <w:tc>
          <w:tcPr>
            <w:tcW w:w="524" w:type="pct"/>
            <w:tcBorders>
              <w:left w:val="single" w:sz="8" w:space="0" w:color="D9D9D9"/>
            </w:tcBorders>
            <w:shd w:val="clear" w:color="auto" w:fill="F2F2F2"/>
            <w:tcMar>
              <w:top w:w="0" w:type="dxa"/>
              <w:left w:w="0" w:type="dxa"/>
              <w:bottom w:w="0" w:type="dxa"/>
              <w:right w:w="0" w:type="dxa"/>
            </w:tcMar>
            <w:vAlign w:val="center"/>
          </w:tcPr>
          <w:p w14:paraId="29903BD3" w14:textId="77777777" w:rsidR="00D9754D" w:rsidRDefault="00CE2957">
            <w:pPr>
              <w:spacing w:before="40" w:after="40"/>
              <w:ind w:left="100" w:right="100"/>
              <w:jc w:val="right"/>
            </w:pPr>
            <w:r>
              <w:rPr>
                <w:rFonts w:ascii="Arial" w:eastAsia="Arial" w:hAnsi="Arial" w:cs="Arial"/>
                <w:color w:val="111111"/>
                <w:sz w:val="14"/>
                <w:szCs w:val="14"/>
              </w:rPr>
              <w:t>101,904</w:t>
            </w:r>
          </w:p>
        </w:tc>
        <w:tc>
          <w:tcPr>
            <w:tcW w:w="440" w:type="pct"/>
            <w:shd w:val="clear" w:color="auto" w:fill="F2F2F2"/>
            <w:tcMar>
              <w:top w:w="0" w:type="dxa"/>
              <w:left w:w="0" w:type="dxa"/>
              <w:bottom w:w="0" w:type="dxa"/>
              <w:right w:w="0" w:type="dxa"/>
            </w:tcMar>
            <w:vAlign w:val="center"/>
          </w:tcPr>
          <w:p w14:paraId="1D53D729" w14:textId="77777777" w:rsidR="00D9754D" w:rsidRDefault="00CE2957">
            <w:pPr>
              <w:spacing w:before="40" w:after="40"/>
              <w:ind w:left="100" w:right="100"/>
              <w:jc w:val="right"/>
            </w:pPr>
            <w:r>
              <w:rPr>
                <w:rFonts w:ascii="Arial" w:eastAsia="Arial" w:hAnsi="Arial" w:cs="Arial"/>
                <w:color w:val="111111"/>
                <w:sz w:val="14"/>
                <w:szCs w:val="14"/>
              </w:rPr>
              <w:t>139,472</w:t>
            </w:r>
          </w:p>
        </w:tc>
        <w:tc>
          <w:tcPr>
            <w:tcW w:w="505" w:type="pct"/>
            <w:tcBorders>
              <w:right w:val="single" w:sz="8" w:space="0" w:color="D9D9D9"/>
            </w:tcBorders>
            <w:shd w:val="clear" w:color="auto" w:fill="F2F2F2"/>
            <w:tcMar>
              <w:top w:w="0" w:type="dxa"/>
              <w:left w:w="0" w:type="dxa"/>
              <w:bottom w:w="0" w:type="dxa"/>
              <w:right w:w="0" w:type="dxa"/>
            </w:tcMar>
            <w:vAlign w:val="center"/>
          </w:tcPr>
          <w:p w14:paraId="3471FAA4" w14:textId="77777777" w:rsidR="00D9754D" w:rsidRDefault="00CE2957">
            <w:pPr>
              <w:spacing w:before="40" w:after="40"/>
              <w:ind w:left="100" w:right="100"/>
              <w:jc w:val="right"/>
            </w:pPr>
            <w:r>
              <w:rPr>
                <w:rFonts w:ascii="Arial" w:eastAsia="Arial" w:hAnsi="Arial" w:cs="Arial"/>
                <w:color w:val="111111"/>
                <w:sz w:val="14"/>
                <w:szCs w:val="14"/>
              </w:rPr>
              <w:t>36.9%</w:t>
            </w:r>
          </w:p>
        </w:tc>
        <w:tc>
          <w:tcPr>
            <w:tcW w:w="440" w:type="pct"/>
            <w:tcBorders>
              <w:left w:val="single" w:sz="8" w:space="0" w:color="D9D9D9"/>
            </w:tcBorders>
            <w:shd w:val="clear" w:color="auto" w:fill="F2F2F2"/>
            <w:tcMar>
              <w:top w:w="0" w:type="dxa"/>
              <w:left w:w="0" w:type="dxa"/>
              <w:bottom w:w="0" w:type="dxa"/>
              <w:right w:w="0" w:type="dxa"/>
            </w:tcMar>
            <w:vAlign w:val="center"/>
          </w:tcPr>
          <w:p w14:paraId="13A928A4" w14:textId="77777777" w:rsidR="00D9754D" w:rsidRDefault="00CE2957">
            <w:pPr>
              <w:spacing w:before="40" w:after="40"/>
              <w:ind w:left="100" w:right="100"/>
              <w:jc w:val="right"/>
            </w:pPr>
            <w:r>
              <w:rPr>
                <w:rFonts w:ascii="Arial" w:eastAsia="Arial" w:hAnsi="Arial" w:cs="Arial"/>
                <w:color w:val="111111"/>
                <w:sz w:val="14"/>
                <w:szCs w:val="14"/>
              </w:rPr>
              <w:t>467,209</w:t>
            </w:r>
          </w:p>
        </w:tc>
        <w:tc>
          <w:tcPr>
            <w:tcW w:w="440" w:type="pct"/>
            <w:shd w:val="clear" w:color="auto" w:fill="F2F2F2"/>
            <w:tcMar>
              <w:top w:w="0" w:type="dxa"/>
              <w:left w:w="0" w:type="dxa"/>
              <w:bottom w:w="0" w:type="dxa"/>
              <w:right w:w="0" w:type="dxa"/>
            </w:tcMar>
            <w:vAlign w:val="center"/>
          </w:tcPr>
          <w:p w14:paraId="5B88E4DB" w14:textId="77777777" w:rsidR="00D9754D" w:rsidRDefault="00CE2957">
            <w:pPr>
              <w:spacing w:before="40" w:after="40"/>
              <w:ind w:left="100" w:right="100"/>
              <w:jc w:val="right"/>
            </w:pPr>
            <w:r>
              <w:rPr>
                <w:rFonts w:ascii="Arial" w:eastAsia="Arial" w:hAnsi="Arial" w:cs="Arial"/>
                <w:color w:val="111111"/>
                <w:sz w:val="14"/>
                <w:szCs w:val="14"/>
              </w:rPr>
              <w:t>606,043</w:t>
            </w:r>
          </w:p>
        </w:tc>
        <w:tc>
          <w:tcPr>
            <w:tcW w:w="505" w:type="pct"/>
            <w:shd w:val="clear" w:color="auto" w:fill="F2F2F2"/>
            <w:tcMar>
              <w:top w:w="0" w:type="dxa"/>
              <w:left w:w="0" w:type="dxa"/>
              <w:bottom w:w="0" w:type="dxa"/>
              <w:right w:w="0" w:type="dxa"/>
            </w:tcMar>
            <w:vAlign w:val="center"/>
          </w:tcPr>
          <w:p w14:paraId="2DC09820" w14:textId="77777777" w:rsidR="00D9754D" w:rsidRDefault="00CE2957">
            <w:pPr>
              <w:spacing w:before="40" w:after="40"/>
              <w:ind w:left="100" w:right="100"/>
              <w:jc w:val="right"/>
            </w:pPr>
            <w:r>
              <w:rPr>
                <w:rFonts w:ascii="Arial" w:eastAsia="Arial" w:hAnsi="Arial" w:cs="Arial"/>
                <w:color w:val="111111"/>
                <w:sz w:val="14"/>
                <w:szCs w:val="14"/>
              </w:rPr>
              <w:t>29.7%</w:t>
            </w:r>
          </w:p>
        </w:tc>
      </w:tr>
    </w:tbl>
    <w:p w14:paraId="27E8CB82" w14:textId="72957A37" w:rsidR="00D9754D" w:rsidRPr="00870BBA" w:rsidRDefault="00CE2957" w:rsidP="003C2AF5">
      <w:pPr>
        <w:numPr>
          <w:ilvl w:val="0"/>
          <w:numId w:val="25"/>
        </w:numPr>
        <w:jc w:val="both"/>
        <w:rPr>
          <w:lang w:val="es-CL"/>
        </w:rPr>
      </w:pPr>
      <w:r w:rsidRPr="00870BBA">
        <w:rPr>
          <w:lang w:val="es-CL"/>
        </w:rPr>
        <w:t xml:space="preserve">Cómo es común durante disminución de la actividad económica, los trabajadores de menor capital humano son los que proporcionalmente sufren más la caída en la ocupación. En específico, </w:t>
      </w:r>
      <w:r w:rsidRPr="00870BBA">
        <w:rPr>
          <w:b/>
          <w:lang w:val="es-CL"/>
        </w:rPr>
        <w:t>74% (5</w:t>
      </w:r>
      <w:r w:rsidR="00B85AD3">
        <w:rPr>
          <w:b/>
          <w:lang w:val="es-CL"/>
        </w:rPr>
        <w:t>74</w:t>
      </w:r>
      <w:r w:rsidRPr="00870BBA">
        <w:rPr>
          <w:b/>
          <w:lang w:val="es-CL"/>
        </w:rPr>
        <w:t>mil) de los 7</w:t>
      </w:r>
      <w:r w:rsidR="00B85AD3">
        <w:rPr>
          <w:b/>
          <w:lang w:val="es-CL"/>
        </w:rPr>
        <w:t>73 mil</w:t>
      </w:r>
      <w:r w:rsidRPr="00870BBA">
        <w:rPr>
          <w:b/>
          <w:lang w:val="es-CL"/>
        </w:rPr>
        <w:t xml:space="preserve"> trabajadores que perdieron su trabajo con respecto al MJ</w:t>
      </w:r>
      <w:r w:rsidR="00B85AD3">
        <w:rPr>
          <w:b/>
          <w:lang w:val="es-CL"/>
        </w:rPr>
        <w:t>J</w:t>
      </w:r>
      <w:r w:rsidRPr="00870BBA">
        <w:rPr>
          <w:b/>
          <w:lang w:val="es-CL"/>
        </w:rPr>
        <w:t>-2019 son trabajadores con educación Primaria o Secundaria.</w:t>
      </w:r>
    </w:p>
    <w:p w14:paraId="28D3FABE" w14:textId="22915C8C" w:rsidR="00D9754D" w:rsidRPr="00870BBA" w:rsidRDefault="00CE2957" w:rsidP="003C2AF5">
      <w:pPr>
        <w:numPr>
          <w:ilvl w:val="0"/>
          <w:numId w:val="25"/>
        </w:numPr>
        <w:jc w:val="both"/>
        <w:rPr>
          <w:lang w:val="es-CL"/>
        </w:rPr>
      </w:pPr>
      <w:r w:rsidRPr="00870BBA">
        <w:rPr>
          <w:lang w:val="es-CL"/>
        </w:rPr>
        <w:lastRenderedPageBreak/>
        <w:t xml:space="preserve">Cabe destacar que los fuertes cambios porcentuales en la desocupación, en comparación a los cambios porcentuales en la ocupación, se deben a que el número de desocupados tiene una base mucho menor. Sin embargo, se destaca el aumento significativo en el desempleo de los trabajadores con educación técnica, quienes sumados a los desocupados con educación universitaria, representan un </w:t>
      </w:r>
      <w:r w:rsidR="004334FA">
        <w:rPr>
          <w:lang w:val="es-CL"/>
        </w:rPr>
        <w:t>53</w:t>
      </w:r>
      <w:r w:rsidRPr="00870BBA">
        <w:rPr>
          <w:lang w:val="es-CL"/>
        </w:rPr>
        <w:t>% del incremento en los desocupados con respecto al MJ</w:t>
      </w:r>
      <w:r w:rsidR="00B85AD3">
        <w:rPr>
          <w:lang w:val="es-CL"/>
        </w:rPr>
        <w:t>J</w:t>
      </w:r>
      <w:r w:rsidRPr="00870BBA">
        <w:rPr>
          <w:lang w:val="es-CL"/>
        </w:rPr>
        <w:t>-2019.</w:t>
      </w:r>
    </w:p>
    <w:p w14:paraId="67470D8F" w14:textId="77777777" w:rsidR="00D9754D" w:rsidRPr="00870BBA" w:rsidRDefault="00CE2957" w:rsidP="003C2AF5">
      <w:pPr>
        <w:numPr>
          <w:ilvl w:val="0"/>
          <w:numId w:val="25"/>
        </w:numPr>
        <w:jc w:val="both"/>
        <w:rPr>
          <w:lang w:val="es-CL"/>
        </w:rPr>
      </w:pPr>
      <w:r w:rsidRPr="00870BBA">
        <w:rPr>
          <w:lang w:val="es-CL"/>
        </w:rPr>
        <w:t>Se puede observar que la destrucción de trabajo es mucho menor en el nivel educacional técnico y universitario, esto se puede deber a que estos grupos tienen un tipo de trabajo con mayores posibilidades de ser realizado a distancia.</w:t>
      </w:r>
    </w:p>
    <w:p w14:paraId="2BE00C2E" w14:textId="0BB36E8A" w:rsidR="00D9754D" w:rsidRPr="00870BBA" w:rsidRDefault="00CE2957" w:rsidP="003C2AF5">
      <w:pPr>
        <w:numPr>
          <w:ilvl w:val="0"/>
          <w:numId w:val="25"/>
        </w:numPr>
        <w:jc w:val="both"/>
        <w:rPr>
          <w:lang w:val="es-CL"/>
        </w:rPr>
      </w:pPr>
      <w:r w:rsidRPr="00870BBA">
        <w:rPr>
          <w:lang w:val="es-CL"/>
        </w:rPr>
        <w:t>Con respecto al número de ocupados que perdieron su puesto de trabajo, en relación a lo observado el año anterior, se aprecia que el grupo más afectado son los trabajadores con educación secundaria, que disminuyen en 4</w:t>
      </w:r>
      <w:r w:rsidR="004334FA">
        <w:rPr>
          <w:lang w:val="es-CL"/>
        </w:rPr>
        <w:t>05</w:t>
      </w:r>
      <w:r w:rsidRPr="00870BBA">
        <w:rPr>
          <w:lang w:val="es-CL"/>
        </w:rPr>
        <w:t>.</w:t>
      </w:r>
      <w:r w:rsidR="004334FA">
        <w:rPr>
          <w:lang w:val="es-CL"/>
        </w:rPr>
        <w:t>690</w:t>
      </w:r>
      <w:r w:rsidRPr="00870BBA">
        <w:rPr>
          <w:lang w:val="es-CL"/>
        </w:rPr>
        <w:t xml:space="preserve"> trabajadores lo que es una disminución </w:t>
      </w:r>
      <w:r w:rsidR="004334FA">
        <w:rPr>
          <w:lang w:val="es-CL"/>
        </w:rPr>
        <w:t>similar</w:t>
      </w:r>
      <w:r w:rsidRPr="00870BBA">
        <w:rPr>
          <w:lang w:val="es-CL"/>
        </w:rPr>
        <w:t xml:space="preserve"> a la observada el trimestre anterior (</w:t>
      </w:r>
      <w:r w:rsidR="004334FA">
        <w:rPr>
          <w:lang w:val="es-CL"/>
        </w:rPr>
        <w:t xml:space="preserve">416.826 </w:t>
      </w:r>
      <w:r w:rsidRPr="00870BBA">
        <w:rPr>
          <w:lang w:val="es-CL"/>
        </w:rPr>
        <w:t>trabajadores).</w:t>
      </w:r>
    </w:p>
    <w:p w14:paraId="674B25DC" w14:textId="77777777" w:rsidR="003C2AF5" w:rsidRPr="003C2AF5" w:rsidRDefault="003C2AF5" w:rsidP="003C2AF5">
      <w:pPr>
        <w:pStyle w:val="Textoindependiente"/>
        <w:rPr>
          <w:lang w:val="es-CL"/>
        </w:rPr>
      </w:pPr>
    </w:p>
    <w:p w14:paraId="2BCF2CDC" w14:textId="77777777" w:rsidR="00D9754D" w:rsidRDefault="00CE2957">
      <w:pPr>
        <w:pStyle w:val="Ttulo2"/>
      </w:pPr>
      <w:bookmarkStart w:id="10" w:name="informalidad-laboral"/>
      <w:proofErr w:type="spellStart"/>
      <w:r>
        <w:t>Informalidad</w:t>
      </w:r>
      <w:proofErr w:type="spellEnd"/>
      <w:r>
        <w:t xml:space="preserve"> Laboral</w:t>
      </w:r>
      <w:bookmarkEnd w:id="10"/>
    </w:p>
    <w:p w14:paraId="45F8AE5E" w14:textId="6F859C25" w:rsidR="00D9754D" w:rsidRPr="00870BBA" w:rsidRDefault="004334FA" w:rsidP="00DA5A43">
      <w:pPr>
        <w:numPr>
          <w:ilvl w:val="0"/>
          <w:numId w:val="26"/>
        </w:numPr>
        <w:jc w:val="both"/>
        <w:rPr>
          <w:lang w:val="es-CL"/>
        </w:rPr>
      </w:pPr>
      <w:r>
        <w:rPr>
          <w:lang w:val="es-CL"/>
        </w:rPr>
        <w:t>Es importante</w:t>
      </w:r>
      <w:r w:rsidR="00CE2957" w:rsidRPr="00870BBA">
        <w:rPr>
          <w:lang w:val="es-CL"/>
        </w:rPr>
        <w:t xml:space="preserve"> da</w:t>
      </w:r>
      <w:r>
        <w:rPr>
          <w:lang w:val="es-CL"/>
        </w:rPr>
        <w:t>r</w:t>
      </w:r>
      <w:r w:rsidR="00CE2957" w:rsidRPr="00870BBA">
        <w:rPr>
          <w:lang w:val="es-CL"/>
        </w:rPr>
        <w:t xml:space="preserve"> una mirada especial a la informalidad laboral, dado que es el sector de la economía más desprotegido a los efectos económicos del COVID-19. Dada su naturaleza de trimestre móvil, este es el primer trimestre donde los datos del INE permiten estudiar en profundidad los efectos del COVID-19 en el mercado laboral.</w:t>
      </w:r>
    </w:p>
    <w:p w14:paraId="704619B2" w14:textId="77777777" w:rsidR="00D9754D" w:rsidRPr="00870BBA" w:rsidRDefault="00CE2957" w:rsidP="00DA5A43">
      <w:pPr>
        <w:numPr>
          <w:ilvl w:val="0"/>
          <w:numId w:val="26"/>
        </w:numPr>
        <w:jc w:val="both"/>
        <w:rPr>
          <w:lang w:val="es-CL"/>
        </w:rPr>
      </w:pPr>
      <w:r w:rsidRPr="00870BBA">
        <w:rPr>
          <w:lang w:val="es-CL"/>
        </w:rPr>
        <w:t>El paquete de medidas económicas anunciadas por el gobierno tiene, en su mayoría, instrumentos de apoyo al sector productivo formal (pymes, trabajadores dependientes, etc.), y en menor medida a los trabajadores en el sector informal. Sólo recientemente se anunció la creación de un seguro de protección de ingresos para independientes.</w:t>
      </w:r>
    </w:p>
    <w:p w14:paraId="4C54C1CB" w14:textId="77777777" w:rsidR="00D9754D" w:rsidRPr="00870BBA" w:rsidRDefault="00CE2957" w:rsidP="00DA5A43">
      <w:pPr>
        <w:pStyle w:val="Compact"/>
        <w:numPr>
          <w:ilvl w:val="1"/>
          <w:numId w:val="27"/>
        </w:numPr>
        <w:jc w:val="both"/>
        <w:rPr>
          <w:lang w:val="es-CL"/>
        </w:rPr>
      </w:pPr>
      <w:r w:rsidRPr="00870BBA">
        <w:rPr>
          <w:lang w:val="es-CL"/>
        </w:rPr>
        <w:t>Los trabajadores informales representan casi un 30% del mercado laboral. A pesar de que han recibido aportes en forma del bono COVID, ingreso mínimo de emergencia, y el bono/prestamos para trabajadores independientes (recién entregado a principios de Junio); estos recursos seguirán siendo insuficientes mientras se siga alargando la crisis dado el actual descontrol de la pandemia.</w:t>
      </w:r>
    </w:p>
    <w:p w14:paraId="63E30007" w14:textId="53B8E2F4" w:rsidR="00D9754D" w:rsidRPr="00DA5A43" w:rsidRDefault="00CE2957" w:rsidP="00DA5A43">
      <w:pPr>
        <w:numPr>
          <w:ilvl w:val="0"/>
          <w:numId w:val="26"/>
        </w:numPr>
        <w:jc w:val="both"/>
        <w:rPr>
          <w:lang w:val="es-CL"/>
        </w:rPr>
      </w:pPr>
      <w:r w:rsidRPr="00DA5A43">
        <w:rPr>
          <w:lang w:val="es-CL"/>
        </w:rPr>
        <w:t xml:space="preserve">El impacto negativo en el sector informal es mucho más severo que en el sector formal, donde los puestos de </w:t>
      </w:r>
      <w:r w:rsidR="00DA5A43" w:rsidRPr="00DA5A43">
        <w:rPr>
          <w:lang w:val="es-CL"/>
        </w:rPr>
        <w:t>trabajo se reducen en más de 361</w:t>
      </w:r>
      <w:r w:rsidRPr="00DA5A43">
        <w:rPr>
          <w:lang w:val="es-CL"/>
        </w:rPr>
        <w:t xml:space="preserve"> mil personas, lo que representa una reducción de 36</w:t>
      </w:r>
      <w:r w:rsidR="00DA5A43" w:rsidRPr="00DA5A43">
        <w:rPr>
          <w:lang w:val="es-CL"/>
        </w:rPr>
        <w:t xml:space="preserve">,2% con respecto al </w:t>
      </w:r>
      <w:r w:rsidRPr="00DA5A43">
        <w:rPr>
          <w:lang w:val="es-CL"/>
        </w:rPr>
        <w:t>M</w:t>
      </w:r>
      <w:r w:rsidR="00DA5A43" w:rsidRPr="00DA5A43">
        <w:rPr>
          <w:lang w:val="es-CL"/>
        </w:rPr>
        <w:t>JJ-2019, contrastando con el 14</w:t>
      </w:r>
      <w:r w:rsidRPr="00DA5A43">
        <w:rPr>
          <w:lang w:val="es-CL"/>
        </w:rPr>
        <w:t>% de reducción de ocupados en el sector formal.</w:t>
      </w:r>
    </w:p>
    <w:p w14:paraId="38DC7517" w14:textId="77777777" w:rsidR="00D9754D" w:rsidRPr="00870BBA" w:rsidRDefault="00CE2957" w:rsidP="003C2AF5">
      <w:pPr>
        <w:pStyle w:val="Ttulo4"/>
        <w:spacing w:after="0"/>
        <w:rPr>
          <w:lang w:val="es-CL"/>
        </w:rPr>
      </w:pPr>
      <w:bookmarkStart w:id="11" w:name="X7de36c3d963953fc1761803657ae1850879e262"/>
      <w:r w:rsidRPr="00870BBA">
        <w:rPr>
          <w:lang w:val="es-CL"/>
        </w:rPr>
        <w:t>Evolución sectores según categoría de ocupación con respecto a mismo trimestre del año anterior</w:t>
      </w:r>
      <w:bookmarkEnd w:id="11"/>
    </w:p>
    <w:p w14:paraId="7C84CD31" w14:textId="77777777" w:rsidR="00D9754D" w:rsidRDefault="00CE2957" w:rsidP="003C2AF5">
      <w:pPr>
        <w:pStyle w:val="FirstParagraph"/>
        <w:spacing w:before="0" w:after="0"/>
      </w:pPr>
      <w:r>
        <w:rPr>
          <w:noProof/>
          <w:lang w:val="es-CL" w:eastAsia="es-CL"/>
        </w:rPr>
        <w:drawing>
          <wp:inline distT="0" distB="0" distL="0" distR="0" wp14:anchorId="238BD676" wp14:editId="0880025C">
            <wp:extent cx="6400802" cy="2560320"/>
            <wp:effectExtent l="0" t="0" r="0" b="508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Grafico%207-1.png"/>
                    <pic:cNvPicPr>
                      <a:picLocks noChangeAspect="1" noChangeArrowheads="1"/>
                    </pic:cNvPicPr>
                  </pic:nvPicPr>
                  <pic:blipFill>
                    <a:blip r:embed="rId14"/>
                    <a:stretch>
                      <a:fillRect/>
                    </a:stretch>
                  </pic:blipFill>
                  <pic:spPr bwMode="auto">
                    <a:xfrm>
                      <a:off x="0" y="0"/>
                      <a:ext cx="6400802" cy="2560320"/>
                    </a:xfrm>
                    <a:prstGeom prst="rect">
                      <a:avLst/>
                    </a:prstGeom>
                    <a:noFill/>
                    <a:ln w="9525">
                      <a:noFill/>
                      <a:headEnd/>
                      <a:tailEnd/>
                    </a:ln>
                  </pic:spPr>
                </pic:pic>
              </a:graphicData>
            </a:graphic>
          </wp:inline>
        </w:drawing>
      </w:r>
    </w:p>
    <w:p w14:paraId="31E74835" w14:textId="77777777" w:rsidR="003C2AF5" w:rsidRPr="00870BBA" w:rsidRDefault="003C2AF5" w:rsidP="003C2AF5">
      <w:pPr>
        <w:pStyle w:val="Ttulo4"/>
        <w:rPr>
          <w:lang w:val="es-CL"/>
        </w:rPr>
      </w:pPr>
      <w:bookmarkStart w:id="12" w:name="X17d77c844454226c1ac9f0b237e99e76a236d1e"/>
      <w:r w:rsidRPr="00870BBA">
        <w:rPr>
          <w:lang w:val="es-CL"/>
        </w:rPr>
        <w:t>Variación ocupados por categoría de ocupación</w:t>
      </w:r>
      <w:bookmarkEnd w:id="12"/>
    </w:p>
    <w:p w14:paraId="10C9E95B" w14:textId="77777777" w:rsidR="003C2AF5" w:rsidRDefault="003C2AF5" w:rsidP="003C2AF5">
      <w:pPr>
        <w:numPr>
          <w:ilvl w:val="0"/>
          <w:numId w:val="28"/>
        </w:numPr>
      </w:pPr>
      <w:r w:rsidRPr="00870BBA">
        <w:rPr>
          <w:lang w:val="es-CL"/>
        </w:rPr>
        <w:t xml:space="preserve">La estructura sectorial de los trabajadores muestra que la informalidad se concentra en el sector servicios, mientras que los sectores de la Minería, Electricidad, Gas y Agua y Act. </w:t>
      </w:r>
      <w:proofErr w:type="spellStart"/>
      <w:r>
        <w:t>Financieras</w:t>
      </w:r>
      <w:proofErr w:type="spellEnd"/>
      <w:r>
        <w:t xml:space="preserve"> es </w:t>
      </w:r>
      <w:proofErr w:type="spellStart"/>
      <w:r>
        <w:t>donde</w:t>
      </w:r>
      <w:proofErr w:type="spellEnd"/>
      <w:r>
        <w:t xml:space="preserve"> se </w:t>
      </w:r>
      <w:proofErr w:type="spellStart"/>
      <w:r>
        <w:t>concentran</w:t>
      </w:r>
      <w:proofErr w:type="spellEnd"/>
      <w:r>
        <w:t xml:space="preserve"> los </w:t>
      </w:r>
      <w:proofErr w:type="spellStart"/>
      <w:r>
        <w:t>trabajos</w:t>
      </w:r>
      <w:proofErr w:type="spellEnd"/>
      <w:r>
        <w:t xml:space="preserve"> </w:t>
      </w:r>
      <w:proofErr w:type="spellStart"/>
      <w:r>
        <w:t>formales</w:t>
      </w:r>
      <w:proofErr w:type="spellEnd"/>
      <w:r>
        <w:t>.</w:t>
      </w:r>
    </w:p>
    <w:p w14:paraId="2D0A0234" w14:textId="74035CEE" w:rsidR="003C2AF5" w:rsidRDefault="003C2AF5" w:rsidP="003C2AF5">
      <w:pPr>
        <w:numPr>
          <w:ilvl w:val="0"/>
          <w:numId w:val="28"/>
        </w:numPr>
        <w:rPr>
          <w:lang w:val="es-CL"/>
        </w:rPr>
      </w:pPr>
      <w:r w:rsidRPr="00AB0C49">
        <w:rPr>
          <w:lang w:val="es-CL"/>
        </w:rPr>
        <w:lastRenderedPageBreak/>
        <w:t xml:space="preserve">En este contexto, el efecto de la pandemia comienza a notarse fuertemente en este trimestre, donde se aprecian aumentos significativos de trabajadores informales en manufacturas, construcción, y Act. profesionales y administrativas. </w:t>
      </w:r>
    </w:p>
    <w:p w14:paraId="401100B6" w14:textId="77777777" w:rsidR="003C2AF5" w:rsidRDefault="003C2AF5" w:rsidP="003C2AF5">
      <w:pPr>
        <w:rPr>
          <w:lang w:val="es-CL"/>
        </w:rPr>
      </w:pPr>
    </w:p>
    <w:p w14:paraId="37E59348" w14:textId="77777777" w:rsidR="00D9754D" w:rsidRPr="00870BBA" w:rsidRDefault="00CE2957">
      <w:pPr>
        <w:pStyle w:val="Ttulo2"/>
        <w:rPr>
          <w:lang w:val="es-CL"/>
        </w:rPr>
      </w:pPr>
      <w:bookmarkStart w:id="13" w:name="tema-del-mes-movilidad-y-covid-19"/>
      <w:r w:rsidRPr="00870BBA">
        <w:rPr>
          <w:lang w:val="es-CL"/>
        </w:rPr>
        <w:t>Tema del Mes: Movilidad y COVID-19</w:t>
      </w:r>
      <w:bookmarkEnd w:id="13"/>
    </w:p>
    <w:p w14:paraId="7D500D51" w14:textId="77777777" w:rsidR="00D9754D" w:rsidRPr="00870BBA" w:rsidRDefault="00CE2957">
      <w:pPr>
        <w:pStyle w:val="FirstParagraph"/>
        <w:rPr>
          <w:lang w:val="es-CL"/>
        </w:rPr>
      </w:pPr>
      <w:r w:rsidRPr="00870BBA">
        <w:rPr>
          <w:lang w:val="es-CL"/>
        </w:rPr>
        <w:t>Los datos actuales de la Encuesta Nacional de Empleo (ENE) no entregan suficiente detalle aún para poder analizar cómo los cambios y restricciones de movilidad han afectado al mercado laboral. Sin embargo, existen otras fuentes de datos que aprovechan los beneficios del “Big Data” para capturar información relevante. En los siguientes gráficos se muestra el porcentaje de cambio en la movilidad de celulares y de automóviles en la región de Valparaíso y en las regiones de Chile donde se tienen datos.</w:t>
      </w:r>
    </w:p>
    <w:p w14:paraId="031BC64E" w14:textId="77777777" w:rsidR="00D9754D" w:rsidRPr="00870BBA" w:rsidRDefault="00CE2957">
      <w:pPr>
        <w:pStyle w:val="Compact"/>
        <w:numPr>
          <w:ilvl w:val="0"/>
          <w:numId w:val="29"/>
        </w:numPr>
        <w:rPr>
          <w:lang w:val="es-CL"/>
        </w:rPr>
      </w:pPr>
      <w:r w:rsidRPr="00870BBA">
        <w:rPr>
          <w:lang w:val="es-CL"/>
        </w:rPr>
        <w:t>En este trimestre hemos usado los siguientes datos abiertos:</w:t>
      </w:r>
    </w:p>
    <w:p w14:paraId="5B9344C6" w14:textId="77777777" w:rsidR="00D9754D" w:rsidRPr="00870BBA" w:rsidRDefault="00CE2957">
      <w:pPr>
        <w:pStyle w:val="Compact"/>
        <w:numPr>
          <w:ilvl w:val="1"/>
          <w:numId w:val="30"/>
        </w:numPr>
        <w:rPr>
          <w:lang w:val="es-CL"/>
        </w:rPr>
      </w:pPr>
      <w:r w:rsidRPr="00870BBA">
        <w:rPr>
          <w:lang w:val="es-CL"/>
        </w:rPr>
        <w:t>Facebook “Data for Good”, para el análisis regional más actualizado al 29/07.</w:t>
      </w:r>
    </w:p>
    <w:p w14:paraId="3BC240BD" w14:textId="77777777" w:rsidR="00D9754D" w:rsidRPr="00870BBA" w:rsidRDefault="00CE2957">
      <w:pPr>
        <w:pStyle w:val="Compact"/>
        <w:numPr>
          <w:ilvl w:val="1"/>
          <w:numId w:val="30"/>
        </w:numPr>
        <w:rPr>
          <w:lang w:val="es-CL"/>
        </w:rPr>
      </w:pPr>
      <w:r w:rsidRPr="00870BBA">
        <w:rPr>
          <w:lang w:val="es-CL"/>
        </w:rPr>
        <w:t>Datos de Movilidad de Celulares del Instituto de Data Science de la Universidad del Desarrollo y la Fundación Ciencias para la Vida, los cuales permiten hacer un análisis de la reducción comunal, pero solo actualizados al 20/07.</w:t>
      </w:r>
    </w:p>
    <w:p w14:paraId="263A7737" w14:textId="5AB3A6B9" w:rsidR="00D9754D" w:rsidRPr="00870BBA" w:rsidRDefault="00CE2957">
      <w:pPr>
        <w:pStyle w:val="Compact"/>
        <w:numPr>
          <w:ilvl w:val="0"/>
          <w:numId w:val="29"/>
        </w:numPr>
        <w:rPr>
          <w:lang w:val="es-CL"/>
        </w:rPr>
      </w:pPr>
      <w:r w:rsidRPr="00870BBA">
        <w:rPr>
          <w:lang w:val="es-CL"/>
        </w:rPr>
        <w:t xml:space="preserve">En el </w:t>
      </w:r>
      <w:hyperlink r:id="rId15">
        <w:r w:rsidRPr="00870BBA">
          <w:rPr>
            <w:rStyle w:val="Hipervnculo"/>
            <w:lang w:val="es-CL"/>
          </w:rPr>
          <w:t>Boletín Laboral CEPR - Especial COVID19</w:t>
        </w:r>
      </w:hyperlink>
      <w:r w:rsidRPr="00870BBA">
        <w:rPr>
          <w:lang w:val="es-CL"/>
        </w:rPr>
        <w:t xml:space="preserve"> se entrega</w:t>
      </w:r>
      <w:r w:rsidR="00AB0C49">
        <w:rPr>
          <w:lang w:val="es-CL"/>
        </w:rPr>
        <w:t>ron</w:t>
      </w:r>
      <w:r w:rsidRPr="00870BBA">
        <w:rPr>
          <w:lang w:val="es-CL"/>
        </w:rPr>
        <w:t xml:space="preserve"> adicionalmente los siguientes indicadores:</w:t>
      </w:r>
    </w:p>
    <w:p w14:paraId="2BFC49AE" w14:textId="77777777" w:rsidR="00D9754D" w:rsidRPr="00870BBA" w:rsidRDefault="00CE2957">
      <w:pPr>
        <w:pStyle w:val="Compact"/>
        <w:numPr>
          <w:ilvl w:val="1"/>
          <w:numId w:val="31"/>
        </w:numPr>
        <w:rPr>
          <w:lang w:val="es-CL"/>
        </w:rPr>
      </w:pPr>
      <w:r w:rsidRPr="00870BBA">
        <w:rPr>
          <w:lang w:val="es-CL"/>
        </w:rPr>
        <w:t>Números, mapas de distribuciones comunales y análisis en general de Reducciones y Suspensiones laborales por la Ley de Protección al Empleo (LPE).</w:t>
      </w:r>
    </w:p>
    <w:p w14:paraId="08A363BE" w14:textId="77777777" w:rsidR="00D9754D" w:rsidRPr="00870BBA" w:rsidRDefault="00CE2957">
      <w:pPr>
        <w:pStyle w:val="Compact"/>
        <w:numPr>
          <w:ilvl w:val="1"/>
          <w:numId w:val="31"/>
        </w:numPr>
        <w:rPr>
          <w:lang w:val="es-CL"/>
        </w:rPr>
      </w:pPr>
      <w:r w:rsidRPr="00870BBA">
        <w:rPr>
          <w:lang w:val="es-CL"/>
        </w:rPr>
        <w:t>Análisis de genero de la participación laboral</w:t>
      </w:r>
    </w:p>
    <w:p w14:paraId="7F362718" w14:textId="77777777" w:rsidR="00D9754D" w:rsidRPr="00870BBA" w:rsidRDefault="00CE2957">
      <w:pPr>
        <w:pStyle w:val="Compact"/>
        <w:numPr>
          <w:ilvl w:val="1"/>
          <w:numId w:val="31"/>
        </w:numPr>
        <w:rPr>
          <w:lang w:val="es-CL"/>
        </w:rPr>
      </w:pPr>
      <w:r w:rsidRPr="00870BBA">
        <w:rPr>
          <w:lang w:val="es-CL"/>
        </w:rPr>
        <w:t>Mapeo de las Movilidad y la representación espacial de la LPE a nivel de manzana censal.</w:t>
      </w:r>
    </w:p>
    <w:p w14:paraId="593FC746" w14:textId="77777777" w:rsidR="00D9754D" w:rsidRPr="00870BBA" w:rsidRDefault="00CE2957">
      <w:pPr>
        <w:pStyle w:val="Ttulo4"/>
        <w:rPr>
          <w:lang w:val="es-CL"/>
        </w:rPr>
      </w:pPr>
      <w:bookmarkStart w:id="14" w:name="X6e27ce93759f30c08f4556a0028e44b1454917a"/>
      <w:r w:rsidRPr="00870BBA">
        <w:rPr>
          <w:lang w:val="es-CL"/>
        </w:rPr>
        <w:t>Evolución de la Movilidad por tráfico de automóviles – Región Metropolitana</w:t>
      </w:r>
      <w:bookmarkEnd w:id="14"/>
    </w:p>
    <w:p w14:paraId="7ECCB692" w14:textId="2BCDEF04" w:rsidR="00D9754D" w:rsidRDefault="009F01DE">
      <w:pPr>
        <w:pStyle w:val="FirstParagraph"/>
      </w:pPr>
      <w:r>
        <w:rPr>
          <w:noProof/>
        </w:rPr>
        <w:drawing>
          <wp:inline distT="0" distB="0" distL="0" distR="0" wp14:anchorId="3E36DFBC" wp14:editId="7CB44BD4">
            <wp:extent cx="6858000" cy="3134995"/>
            <wp:effectExtent l="0" t="0" r="0" b="1905"/>
            <wp:docPr id="13" name="Picture"/>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MovilidadValpo1-1.png"/>
                    <pic:cNvPicPr>
                      <a:picLocks noChangeAspect="1" noChangeArrowheads="1"/>
                    </pic:cNvPicPr>
                  </pic:nvPicPr>
                  <pic:blipFill>
                    <a:blip r:embed="rId16"/>
                    <a:stretch>
                      <a:fillRect/>
                    </a:stretch>
                  </pic:blipFill>
                  <pic:spPr bwMode="auto">
                    <a:xfrm>
                      <a:off x="0" y="0"/>
                      <a:ext cx="6858000" cy="3134995"/>
                    </a:xfrm>
                    <a:prstGeom prst="rect">
                      <a:avLst/>
                    </a:prstGeom>
                    <a:noFill/>
                    <a:ln w="9525">
                      <a:noFill/>
                      <a:headEnd/>
                      <a:tailEnd/>
                    </a:ln>
                  </pic:spPr>
                </pic:pic>
              </a:graphicData>
            </a:graphic>
          </wp:inline>
        </w:drawing>
      </w:r>
    </w:p>
    <w:p w14:paraId="0E84FFB2" w14:textId="77777777" w:rsidR="00D9754D" w:rsidRPr="00870BBA" w:rsidRDefault="00CE2957">
      <w:pPr>
        <w:numPr>
          <w:ilvl w:val="0"/>
          <w:numId w:val="32"/>
        </w:numPr>
        <w:rPr>
          <w:lang w:val="es-CL"/>
        </w:rPr>
      </w:pPr>
      <w:r w:rsidRPr="00870BBA">
        <w:rPr>
          <w:lang w:val="es-CL"/>
        </w:rPr>
        <w:t>Con la liberación de datos más precisos (comparados con los usados en los boletines anteriores), este boletín da cuenta de que la reducción de la movilidad estaba sobre-estimada. Es decir, la reducción en la Región Metropolitana no era del orden del 60% como lo reportaban los datos de AppleMaps, sino solo del orden del 40-50%.</w:t>
      </w:r>
    </w:p>
    <w:p w14:paraId="1F51FE7F" w14:textId="77777777" w:rsidR="00D9754D" w:rsidRDefault="00CE2957">
      <w:pPr>
        <w:numPr>
          <w:ilvl w:val="0"/>
          <w:numId w:val="32"/>
        </w:numPr>
      </w:pPr>
      <w:r w:rsidRPr="00870BBA">
        <w:rPr>
          <w:lang w:val="es-CL"/>
        </w:rPr>
        <w:lastRenderedPageBreak/>
        <w:t xml:space="preserve">Es importante ver que la introducción de la cuarentena general en las comunas del Gran Santiago a principios de mayo ha tenido el efecto de reducción de la movilidad, pero a una velocidad muy inferior a lo que sería deseable para el control de la pandemia. </w:t>
      </w:r>
      <w:r>
        <w:t xml:space="preserve">Por </w:t>
      </w:r>
      <w:proofErr w:type="spellStart"/>
      <w:r>
        <w:t>ejemplo</w:t>
      </w:r>
      <w:proofErr w:type="spellEnd"/>
      <w:r>
        <w:t>:</w:t>
      </w:r>
    </w:p>
    <w:p w14:paraId="279D15C5" w14:textId="5775BB45" w:rsidR="00D9754D" w:rsidRPr="00870BBA" w:rsidRDefault="00CE2957">
      <w:pPr>
        <w:pStyle w:val="Compact"/>
        <w:numPr>
          <w:ilvl w:val="1"/>
          <w:numId w:val="33"/>
        </w:numPr>
        <w:rPr>
          <w:lang w:val="es-CL"/>
        </w:rPr>
      </w:pPr>
      <w:r w:rsidRPr="00870BBA">
        <w:rPr>
          <w:lang w:val="es-CL"/>
        </w:rPr>
        <w:t xml:space="preserve">El lunes 4 de mayo, al iniciarse la cuarentena general, la reducción fue solo del 31,9%. Al final del mes, el lunes 25 de Mayo, la reducción aumentó pasando a 43.8%. Mientras que el </w:t>
      </w:r>
      <w:r w:rsidR="00AB0C49">
        <w:rPr>
          <w:lang w:val="es-CL"/>
        </w:rPr>
        <w:t>24</w:t>
      </w:r>
      <w:r w:rsidRPr="00870BBA">
        <w:rPr>
          <w:lang w:val="es-CL"/>
        </w:rPr>
        <w:t xml:space="preserve"> de </w:t>
      </w:r>
      <w:r w:rsidR="00AB0C49">
        <w:rPr>
          <w:lang w:val="es-CL"/>
        </w:rPr>
        <w:t>Agosto</w:t>
      </w:r>
      <w:r w:rsidRPr="00870BBA">
        <w:rPr>
          <w:lang w:val="es-CL"/>
        </w:rPr>
        <w:t>, la reducción de la movilidad al</w:t>
      </w:r>
      <w:r w:rsidR="00AB0C49">
        <w:rPr>
          <w:lang w:val="es-CL"/>
        </w:rPr>
        <w:t>canzo el</w:t>
      </w:r>
      <w:r w:rsidRPr="00870BBA">
        <w:rPr>
          <w:lang w:val="es-CL"/>
        </w:rPr>
        <w:t xml:space="preserve"> </w:t>
      </w:r>
      <w:r w:rsidR="00AB0C49">
        <w:rPr>
          <w:lang w:val="es-CL"/>
        </w:rPr>
        <w:t>25</w:t>
      </w:r>
      <w:r w:rsidRPr="00870BBA">
        <w:rPr>
          <w:lang w:val="es-CL"/>
        </w:rPr>
        <w:t>%.</w:t>
      </w:r>
    </w:p>
    <w:p w14:paraId="7F6BFEBA" w14:textId="4745E701" w:rsidR="00D9754D" w:rsidRPr="00870BBA" w:rsidRDefault="00AB0C49">
      <w:pPr>
        <w:pStyle w:val="Compact"/>
        <w:numPr>
          <w:ilvl w:val="1"/>
          <w:numId w:val="33"/>
        </w:numPr>
        <w:rPr>
          <w:lang w:val="es-CL"/>
        </w:rPr>
      </w:pPr>
      <w:r>
        <w:rPr>
          <w:lang w:val="es-CL"/>
        </w:rPr>
        <w:t>El boletín anterior indicó una leve alza en movilidad, lo que se consolida este últim</w:t>
      </w:r>
      <w:r w:rsidR="00CA7834">
        <w:rPr>
          <w:lang w:val="es-CL"/>
        </w:rPr>
        <w:t>o</w:t>
      </w:r>
      <w:r>
        <w:rPr>
          <w:lang w:val="es-CL"/>
        </w:rPr>
        <w:t xml:space="preserve"> mes, con un incremento significativo en la movilidad. </w:t>
      </w:r>
    </w:p>
    <w:p w14:paraId="6D183235" w14:textId="77777777" w:rsidR="00D9754D" w:rsidRPr="00870BBA" w:rsidRDefault="00CE2957">
      <w:pPr>
        <w:numPr>
          <w:ilvl w:val="0"/>
          <w:numId w:val="32"/>
        </w:numPr>
        <w:rPr>
          <w:lang w:val="es-CL"/>
        </w:rPr>
      </w:pPr>
      <w:r w:rsidRPr="00870BBA">
        <w:rPr>
          <w:lang w:val="es-CL"/>
        </w:rPr>
        <w:t>Finalmente, los datos de movilidad comunal revelan la marcada y conocida heterogeneidad territorial de la región y su gran interconectividad laboral con las principales comunas en términos de empleo.</w:t>
      </w:r>
    </w:p>
    <w:p w14:paraId="544B1935" w14:textId="455E9A7F" w:rsidR="00D9754D" w:rsidRPr="00870BBA" w:rsidRDefault="00CE2957">
      <w:pPr>
        <w:pStyle w:val="Compact"/>
        <w:numPr>
          <w:ilvl w:val="1"/>
          <w:numId w:val="34"/>
        </w:numPr>
        <w:rPr>
          <w:lang w:val="es-CL"/>
        </w:rPr>
      </w:pPr>
      <w:r w:rsidRPr="00870BBA">
        <w:rPr>
          <w:lang w:val="es-CL"/>
        </w:rPr>
        <w:t xml:space="preserve">Como se puede apreciar en los mapas, </w:t>
      </w:r>
      <w:r w:rsidR="00AB0C49">
        <w:rPr>
          <w:b/>
          <w:bCs/>
          <w:lang w:val="es-CL"/>
        </w:rPr>
        <w:t>no hay</w:t>
      </w:r>
      <w:r w:rsidRPr="00870BBA">
        <w:rPr>
          <w:lang w:val="es-CL"/>
        </w:rPr>
        <w:t xml:space="preserve"> comunas de la región que se ha</w:t>
      </w:r>
      <w:r w:rsidR="00AB0C49">
        <w:rPr>
          <w:lang w:val="es-CL"/>
        </w:rPr>
        <w:t>yan</w:t>
      </w:r>
      <w:r w:rsidRPr="00870BBA">
        <w:rPr>
          <w:lang w:val="es-CL"/>
        </w:rPr>
        <w:t xml:space="preserve"> mantenido con reducciones de la movilidad mayores al 50%.</w:t>
      </w:r>
    </w:p>
    <w:p w14:paraId="6012ED21" w14:textId="29B6623E" w:rsidR="00D9754D" w:rsidRPr="00870BBA" w:rsidRDefault="00CE2957">
      <w:pPr>
        <w:pStyle w:val="Compact"/>
        <w:numPr>
          <w:ilvl w:val="1"/>
          <w:numId w:val="34"/>
        </w:numPr>
        <w:rPr>
          <w:lang w:val="es-CL"/>
        </w:rPr>
      </w:pPr>
      <w:r w:rsidRPr="00870BBA">
        <w:rPr>
          <w:lang w:val="es-CL"/>
        </w:rPr>
        <w:t xml:space="preserve">Sin embargo, el resto de las comunas, especialmente las comunas periféricas que no son intensivas en la oferta de empleo, </w:t>
      </w:r>
      <w:r w:rsidR="00AB0C49">
        <w:rPr>
          <w:lang w:val="es-CL"/>
        </w:rPr>
        <w:t>casi no muestran reducciones de movilidad.</w:t>
      </w:r>
    </w:p>
    <w:p w14:paraId="511FF3E3" w14:textId="68B90CD4" w:rsidR="00D9754D" w:rsidRPr="00870BBA" w:rsidRDefault="00CE2957">
      <w:pPr>
        <w:pStyle w:val="Compact"/>
        <w:numPr>
          <w:ilvl w:val="1"/>
          <w:numId w:val="34"/>
        </w:numPr>
        <w:rPr>
          <w:lang w:val="es-CL"/>
        </w:rPr>
      </w:pPr>
      <w:r w:rsidRPr="00870BBA">
        <w:rPr>
          <w:lang w:val="es-CL"/>
        </w:rPr>
        <w:t>Consistente con el gráfico anterior se observan</w:t>
      </w:r>
      <w:r w:rsidR="00AB0C49">
        <w:rPr>
          <w:lang w:val="es-CL"/>
        </w:rPr>
        <w:t xml:space="preserve"> un número importante de</w:t>
      </w:r>
      <w:r w:rsidRPr="00870BBA">
        <w:rPr>
          <w:lang w:val="es-CL"/>
        </w:rPr>
        <w:t xml:space="preserve"> comunas donde la movilidad empieza a aumentar, e incluso ser mayor que antes de la pandemia.</w:t>
      </w:r>
    </w:p>
    <w:p w14:paraId="51DC30B1" w14:textId="77777777" w:rsidR="00D9754D" w:rsidRPr="00870BBA" w:rsidRDefault="00D9754D">
      <w:pPr>
        <w:pStyle w:val="FirstParagraph"/>
        <w:rPr>
          <w:lang w:val="es-CL"/>
        </w:rPr>
      </w:pPr>
    </w:p>
    <w:p w14:paraId="0744DF5B" w14:textId="77777777" w:rsidR="00D9754D" w:rsidRDefault="00CE2957">
      <w:pPr>
        <w:pStyle w:val="Ttulo4"/>
      </w:pPr>
      <w:bookmarkStart w:id="15" w:name="mapa-movilidad-últimas-6-semanas"/>
      <w:r>
        <w:t xml:space="preserve">Mapa </w:t>
      </w:r>
      <w:proofErr w:type="spellStart"/>
      <w:r>
        <w:t>movilidad</w:t>
      </w:r>
      <w:proofErr w:type="spellEnd"/>
      <w:r>
        <w:t xml:space="preserve"> </w:t>
      </w:r>
      <w:proofErr w:type="spellStart"/>
      <w:r>
        <w:t>últimas</w:t>
      </w:r>
      <w:proofErr w:type="spellEnd"/>
      <w:r>
        <w:t xml:space="preserve"> 6 </w:t>
      </w:r>
      <w:proofErr w:type="spellStart"/>
      <w:r>
        <w:t>semanas</w:t>
      </w:r>
      <w:bookmarkEnd w:id="15"/>
      <w:proofErr w:type="spellEnd"/>
    </w:p>
    <w:p w14:paraId="78394C7E" w14:textId="77777777" w:rsidR="00D9754D" w:rsidRDefault="00CE2957">
      <w:pPr>
        <w:pStyle w:val="FirstParagraph"/>
      </w:pPr>
      <w:r>
        <w:rPr>
          <w:noProof/>
          <w:lang w:val="es-CL" w:eastAsia="es-CL"/>
        </w:rPr>
        <w:drawing>
          <wp:inline distT="0" distB="0" distL="0" distR="0" wp14:anchorId="3AEFA3CF" wp14:editId="166C0A5A">
            <wp:extent cx="6413627" cy="366492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2020_06_Boletin_RM_files/figure-docx/Mapa%20udd-1.png"/>
                    <pic:cNvPicPr>
                      <a:picLocks noChangeAspect="1" noChangeArrowheads="1"/>
                    </pic:cNvPicPr>
                  </pic:nvPicPr>
                  <pic:blipFill>
                    <a:blip r:embed="rId17"/>
                    <a:stretch>
                      <a:fillRect/>
                    </a:stretch>
                  </pic:blipFill>
                  <pic:spPr bwMode="auto">
                    <a:xfrm>
                      <a:off x="0" y="0"/>
                      <a:ext cx="6413627" cy="3664929"/>
                    </a:xfrm>
                    <a:prstGeom prst="rect">
                      <a:avLst/>
                    </a:prstGeom>
                    <a:noFill/>
                    <a:ln w="9525">
                      <a:noFill/>
                      <a:headEnd/>
                      <a:tailEnd/>
                    </a:ln>
                  </pic:spPr>
                </pic:pic>
              </a:graphicData>
            </a:graphic>
          </wp:inline>
        </w:drawing>
      </w:r>
    </w:p>
    <w:p w14:paraId="493884F2" w14:textId="77777777" w:rsidR="00D9754D" w:rsidRDefault="00D9754D">
      <w:pPr>
        <w:pStyle w:val="Textoindependiente"/>
      </w:pPr>
    </w:p>
    <w:p w14:paraId="18510578" w14:textId="77777777" w:rsidR="00D9754D" w:rsidRPr="00870BBA" w:rsidRDefault="00CE2957">
      <w:pPr>
        <w:pStyle w:val="Ttulo4"/>
        <w:rPr>
          <w:lang w:val="es-CL"/>
        </w:rPr>
      </w:pPr>
      <w:bookmarkStart w:id="16" w:name="equipo-cepr"/>
      <w:r w:rsidRPr="00870BBA">
        <w:rPr>
          <w:lang w:val="es-CL"/>
        </w:rPr>
        <w:t>Equipo CEPR</w:t>
      </w:r>
      <w:bookmarkEnd w:id="16"/>
    </w:p>
    <w:p w14:paraId="330935F9" w14:textId="77777777" w:rsidR="00DC126F" w:rsidRDefault="00CE2957" w:rsidP="00DC126F">
      <w:pPr>
        <w:pStyle w:val="FirstParagraph"/>
        <w:spacing w:before="0" w:after="0"/>
        <w:rPr>
          <w:lang w:val="es-CL"/>
        </w:rPr>
      </w:pPr>
      <w:r w:rsidRPr="00870BBA">
        <w:rPr>
          <w:i/>
          <w:lang w:val="es-CL"/>
        </w:rPr>
        <w:t>Elaboración</w:t>
      </w:r>
      <w:r w:rsidRPr="00870BBA">
        <w:rPr>
          <w:lang w:val="es-CL"/>
        </w:rPr>
        <w:t xml:space="preserve">: </w:t>
      </w:r>
      <w:r w:rsidR="00DC126F" w:rsidRPr="00870BBA">
        <w:rPr>
          <w:lang w:val="es-CL"/>
        </w:rPr>
        <w:t xml:space="preserve">Juan Eberhard, Director CEPR - UAI </w:t>
      </w:r>
    </w:p>
    <w:p w14:paraId="3A53AC9A" w14:textId="77777777" w:rsidR="00DC126F" w:rsidRDefault="00CE2957" w:rsidP="00DC126F">
      <w:pPr>
        <w:pStyle w:val="FirstParagraph"/>
        <w:spacing w:before="0" w:after="0"/>
        <w:rPr>
          <w:lang w:val="es-CL"/>
        </w:rPr>
      </w:pPr>
      <w:r w:rsidRPr="00870BBA">
        <w:rPr>
          <w:i/>
          <w:lang w:val="es-CL"/>
        </w:rPr>
        <w:t>Edición</w:t>
      </w:r>
      <w:r w:rsidRPr="00870BBA">
        <w:rPr>
          <w:lang w:val="es-CL"/>
        </w:rPr>
        <w:t xml:space="preserve">:  </w:t>
      </w:r>
    </w:p>
    <w:p w14:paraId="582E112D" w14:textId="49D638F3" w:rsidR="00DC126F" w:rsidRDefault="00CE2957" w:rsidP="00DC126F">
      <w:pPr>
        <w:pStyle w:val="FirstParagraph"/>
        <w:spacing w:before="0" w:after="0"/>
        <w:rPr>
          <w:lang w:val="es-CL"/>
        </w:rPr>
      </w:pPr>
      <w:r w:rsidRPr="00870BBA">
        <w:rPr>
          <w:lang w:val="es-CL"/>
        </w:rPr>
        <w:t xml:space="preserve">- Nicolás Grau, U. de Chile </w:t>
      </w:r>
    </w:p>
    <w:p w14:paraId="35AF0432" w14:textId="77777777" w:rsidR="00DC126F" w:rsidRDefault="00DC126F" w:rsidP="00DC126F">
      <w:pPr>
        <w:pStyle w:val="FirstParagraph"/>
        <w:spacing w:before="0" w:after="0"/>
        <w:rPr>
          <w:lang w:val="es-CL"/>
        </w:rPr>
      </w:pPr>
      <w:r>
        <w:rPr>
          <w:lang w:val="es-CL"/>
        </w:rPr>
        <w:lastRenderedPageBreak/>
        <w:t xml:space="preserve">- </w:t>
      </w:r>
      <w:r w:rsidRPr="00870BBA">
        <w:rPr>
          <w:lang w:val="es-CL"/>
        </w:rPr>
        <w:t xml:space="preserve">Esteban López, Director Ejecutivo CEPR - UAI  </w:t>
      </w:r>
    </w:p>
    <w:p w14:paraId="4E7798B1" w14:textId="77777777" w:rsidR="00DC126F" w:rsidRDefault="00CE2957" w:rsidP="00DC126F">
      <w:pPr>
        <w:pStyle w:val="FirstParagraph"/>
        <w:spacing w:before="0" w:after="0"/>
        <w:rPr>
          <w:lang w:val="es-CL"/>
        </w:rPr>
      </w:pPr>
      <w:r w:rsidRPr="00870BBA">
        <w:rPr>
          <w:lang w:val="es-CL"/>
        </w:rPr>
        <w:t xml:space="preserve">- Luis Herskovic, Profesor UAI </w:t>
      </w:r>
    </w:p>
    <w:p w14:paraId="774B7FFE" w14:textId="1640C94F" w:rsidR="00D9754D" w:rsidRPr="00870BBA" w:rsidRDefault="00CE2957" w:rsidP="00DC126F">
      <w:pPr>
        <w:pStyle w:val="FirstParagraph"/>
        <w:spacing w:before="0" w:after="0"/>
        <w:rPr>
          <w:lang w:val="es-CL"/>
        </w:rPr>
      </w:pPr>
      <w:r w:rsidRPr="00870BBA">
        <w:rPr>
          <w:i/>
          <w:lang w:val="es-CL"/>
        </w:rPr>
        <w:t>Apoyo en Programación</w:t>
      </w:r>
      <w:r w:rsidRPr="00870BBA">
        <w:rPr>
          <w:lang w:val="es-CL"/>
        </w:rPr>
        <w:t xml:space="preserve">: Martín Sielfeld, Ayudante CEPR - UAI. </w:t>
      </w:r>
    </w:p>
    <w:p w14:paraId="267A2458" w14:textId="77777777" w:rsidR="00D9754D" w:rsidRPr="00870BBA" w:rsidRDefault="00D9754D">
      <w:pPr>
        <w:pStyle w:val="Textoindependiente"/>
        <w:rPr>
          <w:lang w:val="es-CL"/>
        </w:rPr>
      </w:pPr>
    </w:p>
    <w:p w14:paraId="36D0FB31" w14:textId="77777777" w:rsidR="00D9754D" w:rsidRPr="00870BBA" w:rsidRDefault="00760E67" w:rsidP="003C2AF5">
      <w:pPr>
        <w:pStyle w:val="Citadestacada"/>
        <w:rPr>
          <w:lang w:val="es-CL"/>
        </w:rPr>
      </w:pPr>
      <w:hyperlink r:id="rId18">
        <w:r w:rsidR="00CE2957" w:rsidRPr="00870BBA">
          <w:rPr>
            <w:rStyle w:val="Hipervnculo"/>
            <w:lang w:val="es-CL"/>
          </w:rPr>
          <w:t>http://cepr.uai.cl</w:t>
        </w:r>
      </w:hyperlink>
    </w:p>
    <w:p w14:paraId="0A415BA0" w14:textId="77777777" w:rsidR="00D9754D" w:rsidRPr="00870BBA" w:rsidRDefault="00D9754D">
      <w:pPr>
        <w:pStyle w:val="Textoindependiente"/>
        <w:rPr>
          <w:lang w:val="es-CL"/>
        </w:rPr>
      </w:pPr>
    </w:p>
    <w:p w14:paraId="0864ADEB" w14:textId="67550F78" w:rsidR="00D9754D" w:rsidRPr="00870BBA" w:rsidRDefault="00CE2957" w:rsidP="003C2AF5">
      <w:pPr>
        <w:pStyle w:val="Textoindependiente"/>
        <w:jc w:val="center"/>
        <w:rPr>
          <w:lang w:val="es-CL"/>
        </w:rPr>
      </w:pPr>
      <w:r w:rsidRPr="00870BBA">
        <w:rPr>
          <w:i/>
          <w:lang w:val="es-CL"/>
        </w:rPr>
        <w:t>El Boletín Laboral CEPR es un producto UAI con el apoyo del centro COES (ANID/FONDAP/15130009). Las opiniones expresadas son de exclusiva responsabilidad de sus autores y no representan necesariamente la opinión de UAI o COES</w:t>
      </w:r>
    </w:p>
    <w:sectPr w:rsidR="00D9754D" w:rsidRPr="00870BBA" w:rsidSect="00016202">
      <w:headerReference w:type="default" r:id="rId19"/>
      <w:footerReference w:type="default" r:id="rId20"/>
      <w:pgSz w:w="12240" w:h="15840"/>
      <w:pgMar w:top="1348" w:right="720" w:bottom="720" w:left="720" w:header="36" w:footer="216"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36606" w14:textId="77777777" w:rsidR="00760E67" w:rsidRDefault="00760E67">
      <w:pPr>
        <w:spacing w:after="0" w:line="240" w:lineRule="auto"/>
      </w:pPr>
      <w:r>
        <w:separator/>
      </w:r>
    </w:p>
  </w:endnote>
  <w:endnote w:type="continuationSeparator" w:id="0">
    <w:p w14:paraId="52D2D43C" w14:textId="77777777" w:rsidR="00760E67" w:rsidRDefault="00760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tter">
    <w:panose1 w:val="00000000000000000000"/>
    <w:charset w:val="4D"/>
    <w:family w:val="auto"/>
    <w:pitch w:val="variable"/>
    <w:sig w:usb0="A00002FF" w:usb1="400020FB" w:usb2="00000000" w:usb3="00000000" w:csb0="00000197" w:csb1="00000000"/>
  </w:font>
  <w:font w:name="Consolas">
    <w:panose1 w:val="020B0609020204030204"/>
    <w:charset w:val="00"/>
    <w:family w:val="modern"/>
    <w:pitch w:val="fixed"/>
    <w:sig w:usb0="E00006FF" w:usb1="0000F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yuthaya">
    <w:charset w:val="DE"/>
    <w:family w:val="auto"/>
    <w:pitch w:val="variable"/>
    <w:sig w:usb0="A10002FF" w:usb1="5000204A" w:usb2="00000020" w:usb3="00000000" w:csb0="0001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9A86" w14:textId="49A554CC" w:rsidR="00016202" w:rsidRPr="00372CF4" w:rsidRDefault="00016202" w:rsidP="00016202">
    <w:pPr>
      <w:jc w:val="center"/>
      <w:rPr>
        <w:i/>
        <w:iCs w:val="0"/>
        <w:color w:val="16A07F"/>
      </w:rPr>
    </w:pPr>
    <w:r>
      <w:rPr>
        <w:noProof/>
        <w:lang w:val="es-CL" w:eastAsia="es-CL"/>
      </w:rPr>
      <w:drawing>
        <wp:anchor distT="0" distB="0" distL="114300" distR="114300" simplePos="0" relativeHeight="251677696" behindDoc="0" locked="0" layoutInCell="1" allowOverlap="1" wp14:anchorId="614E462A" wp14:editId="58CF5130">
          <wp:simplePos x="0" y="0"/>
          <wp:positionH relativeFrom="column">
            <wp:posOffset>2798160</wp:posOffset>
          </wp:positionH>
          <wp:positionV relativeFrom="paragraph">
            <wp:posOffset>179</wp:posOffset>
          </wp:positionV>
          <wp:extent cx="1337637" cy="731520"/>
          <wp:effectExtent l="0" t="0" r="0" b="0"/>
          <wp:wrapSquare wrapText="bothSides"/>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letin-CEPR_UAI_METROPOLITANA.png"/>
                  <pic:cNvPicPr/>
                </pic:nvPicPr>
                <pic:blipFill>
                  <a:blip r:embed="rId1">
                    <a:extLst>
                      <a:ext uri="{28A0092B-C50C-407E-A947-70E740481C1C}">
                        <a14:useLocalDpi xmlns:a14="http://schemas.microsoft.com/office/drawing/2010/main" val="0"/>
                      </a:ext>
                    </a:extLst>
                  </a:blip>
                  <a:stretch>
                    <a:fillRect/>
                  </a:stretch>
                </pic:blipFill>
                <pic:spPr>
                  <a:xfrm>
                    <a:off x="0" y="0"/>
                    <a:ext cx="1337637" cy="731520"/>
                  </a:xfrm>
                  <a:prstGeom prst="rect">
                    <a:avLst/>
                  </a:prstGeom>
                </pic:spPr>
              </pic:pic>
            </a:graphicData>
          </a:graphic>
          <wp14:sizeRelH relativeFrom="page">
            <wp14:pctWidth>0</wp14:pctWidth>
          </wp14:sizeRelH>
          <wp14:sizeRelV relativeFrom="page">
            <wp14:pctHeight>0</wp14:pctHeight>
          </wp14:sizeRelV>
        </wp:anchor>
      </w:drawing>
    </w:r>
    <w:r w:rsidR="00CE2957">
      <w:rPr>
        <w:i/>
        <w:iCs w:val="0"/>
        <w:noProof/>
        <w:color w:val="16A07F"/>
        <w:lang w:val="es-CL" w:eastAsia="es-CL"/>
      </w:rPr>
      <mc:AlternateContent>
        <mc:Choice Requires="wps">
          <w:drawing>
            <wp:anchor distT="0" distB="0" distL="114300" distR="114300" simplePos="0" relativeHeight="251667456" behindDoc="0" locked="0" layoutInCell="1" allowOverlap="1" wp14:anchorId="606D9FAA" wp14:editId="689335FD">
              <wp:simplePos x="0" y="0"/>
              <wp:positionH relativeFrom="column">
                <wp:posOffset>4025900</wp:posOffset>
              </wp:positionH>
              <wp:positionV relativeFrom="paragraph">
                <wp:posOffset>340360</wp:posOffset>
              </wp:positionV>
              <wp:extent cx="2044700" cy="228600"/>
              <wp:effectExtent l="0" t="0" r="0" b="0"/>
              <wp:wrapNone/>
              <wp:docPr id="14"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58C4" id="Rectangle 6" o:spid="_x0000_s1026" href="http://cepr.uai.cl/" style="position:absolute;margin-left:317pt;margin-top:26.8pt;width:161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wOj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5408" behindDoc="0" locked="0" layoutInCell="1" allowOverlap="1" wp14:anchorId="728B2710" wp14:editId="5F669030">
              <wp:simplePos x="0" y="0"/>
              <wp:positionH relativeFrom="column">
                <wp:posOffset>1854200</wp:posOffset>
              </wp:positionH>
              <wp:positionV relativeFrom="paragraph">
                <wp:posOffset>149860</wp:posOffset>
              </wp:positionV>
              <wp:extent cx="317500" cy="317500"/>
              <wp:effectExtent l="0" t="0" r="0" b="0"/>
              <wp:wrapNone/>
              <wp:docPr id="15"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99C19" id="Rectangle 5" o:spid="_x0000_s1026" href="mailto:" style="position:absolute;margin-left:146pt;margin-top:11.8pt;width:25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" o:button="t" filled="f" stroked="f" strokeweight="1pt">
              <v:fill o:detectmouseclick="t"/>
            </v:rect>
          </w:pict>
        </mc:Fallback>
      </mc:AlternateContent>
    </w:r>
    <w:r w:rsidR="00CE2957">
      <w:rPr>
        <w:i/>
        <w:iCs w:val="0"/>
        <w:noProof/>
        <w:color w:val="16A07F"/>
        <w:lang w:val="es-CL" w:eastAsia="es-CL"/>
      </w:rPr>
      <mc:AlternateContent>
        <mc:Choice Requires="wps">
          <w:drawing>
            <wp:anchor distT="0" distB="0" distL="114300" distR="114300" simplePos="0" relativeHeight="251663360" behindDoc="0" locked="0" layoutInCell="1" allowOverlap="1" wp14:anchorId="7CB6798B" wp14:editId="7F61D037">
              <wp:simplePos x="0" y="0"/>
              <wp:positionH relativeFrom="column">
                <wp:posOffset>1447800</wp:posOffset>
              </wp:positionH>
              <wp:positionV relativeFrom="paragraph">
                <wp:posOffset>149860</wp:posOffset>
              </wp:positionV>
              <wp:extent cx="317500" cy="317500"/>
              <wp:effectExtent l="0" t="0" r="0" b="0"/>
              <wp:wrapNone/>
              <wp:docPr id="16"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E5A543" id="Rectangle 2" o:spid="_x0000_s1026" href="http://www.twitter.com/" style="position:absolute;margin-left:114pt;margin-top:11.8pt;width:2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" o:button="t" filled="f" stroked="f" strokeweight="1pt">
              <v:fill o:detectmouseclick="t"/>
            </v:rect>
          </w:pict>
        </mc:Fallback>
      </mc:AlternateContent>
    </w:r>
    <w:r w:rsidRPr="00AF68DD">
      <w:rPr>
        <w:i/>
        <w:iCs w:val="0"/>
        <w:noProof/>
        <w:color w:val="16A07F"/>
      </w:rPr>
      <w:drawing>
        <wp:anchor distT="0" distB="0" distL="114300" distR="114300" simplePos="0" relativeHeight="251674624" behindDoc="0" locked="0" layoutInCell="1" allowOverlap="1" wp14:anchorId="6216E564" wp14:editId="236B0EA9">
          <wp:simplePos x="0" y="0"/>
          <wp:positionH relativeFrom="column">
            <wp:posOffset>64913</wp:posOffset>
          </wp:positionH>
          <wp:positionV relativeFrom="paragraph">
            <wp:posOffset>155001</wp:posOffset>
          </wp:positionV>
          <wp:extent cx="1384935" cy="40195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t="16364" r="70223"/>
                  <a:stretch/>
                </pic:blipFill>
                <pic:spPr bwMode="auto">
                  <a:xfrm>
                    <a:off x="0" y="0"/>
                    <a:ext cx="1384935" cy="401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F68DD">
      <w:rPr>
        <w:i/>
        <w:iCs w:val="0"/>
        <w:noProof/>
        <w:color w:val="16A07F"/>
      </w:rPr>
      <w:drawing>
        <wp:anchor distT="0" distB="0" distL="114300" distR="114300" simplePos="0" relativeHeight="251675648" behindDoc="0" locked="0" layoutInCell="1" allowOverlap="1" wp14:anchorId="5D1E415C" wp14:editId="65F7AC2F">
          <wp:simplePos x="0" y="0"/>
          <wp:positionH relativeFrom="column">
            <wp:posOffset>4881245</wp:posOffset>
          </wp:positionH>
          <wp:positionV relativeFrom="paragraph">
            <wp:posOffset>104889</wp:posOffset>
          </wp:positionV>
          <wp:extent cx="2090354" cy="461676"/>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53432" t="11220" r="5039"/>
                  <a:stretch/>
                </pic:blipFill>
                <pic:spPr bwMode="auto">
                  <a:xfrm>
                    <a:off x="0" y="0"/>
                    <a:ext cx="2090354" cy="461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i/>
        <w:iCs w:val="0"/>
        <w:noProof/>
        <w:color w:val="16A07F"/>
      </w:rPr>
      <w:t xml:space="preserve"> </w:t>
    </w:r>
    <w:r>
      <w:rPr>
        <w:i/>
        <w:iCs w:val="0"/>
        <w:noProof/>
        <w:color w:val="16A07F"/>
      </w:rPr>
      <mc:AlternateContent>
        <mc:Choice Requires="wps">
          <w:drawing>
            <wp:anchor distT="0" distB="0" distL="114300" distR="114300" simplePos="0" relativeHeight="251672576" behindDoc="0" locked="0" layoutInCell="1" allowOverlap="1" wp14:anchorId="52E14E75" wp14:editId="288BBAE4">
              <wp:simplePos x="0" y="0"/>
              <wp:positionH relativeFrom="column">
                <wp:posOffset>4025900</wp:posOffset>
              </wp:positionH>
              <wp:positionV relativeFrom="paragraph">
                <wp:posOffset>340360</wp:posOffset>
              </wp:positionV>
              <wp:extent cx="2044700" cy="228600"/>
              <wp:effectExtent l="0" t="0" r="0" b="0"/>
              <wp:wrapNone/>
              <wp:docPr id="17" name="Rectangle 6">
                <a:hlinkClick xmlns:a="http://schemas.openxmlformats.org/drawingml/2006/main" r:id="rId2"/>
              </wp:docPr>
              <wp:cNvGraphicFramePr/>
              <a:graphic xmlns:a="http://schemas.openxmlformats.org/drawingml/2006/main">
                <a:graphicData uri="http://schemas.microsoft.com/office/word/2010/wordprocessingShape">
                  <wps:wsp>
                    <wps:cNvSpPr/>
                    <wps:spPr>
                      <a:xfrm>
                        <a:off x="0" y="0"/>
                        <a:ext cx="20447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41EB5" id="Rectangle 6" o:spid="_x0000_s1026" href="http://cepr.uai.cl/" style="position:absolute;margin-left:317pt;margin-top:26.8pt;width:161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1552" behindDoc="0" locked="0" layoutInCell="1" allowOverlap="1" wp14:anchorId="138D953F" wp14:editId="39A35240">
              <wp:simplePos x="0" y="0"/>
              <wp:positionH relativeFrom="column">
                <wp:posOffset>1854200</wp:posOffset>
              </wp:positionH>
              <wp:positionV relativeFrom="paragraph">
                <wp:posOffset>149860</wp:posOffset>
              </wp:positionV>
              <wp:extent cx="317500" cy="317500"/>
              <wp:effectExtent l="0" t="0" r="0" b="0"/>
              <wp:wrapNone/>
              <wp:docPr id="18" name="Rectangle 5">
                <a:hlinkClick xmlns:a="http://schemas.openxmlformats.org/drawingml/2006/main" r:id="rId3"/>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92F43" id="Rectangle 5" o:spid="_x0000_s1026" href="mailto:" style="position:absolute;margin-left:146pt;margin-top:11.8pt;width:25pt;height: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" o:button="t" filled="f" stroked="f" strokeweight="1pt">
              <v:fill o:detectmouseclick="t"/>
            </v:rect>
          </w:pict>
        </mc:Fallback>
      </mc:AlternateContent>
    </w:r>
    <w:r>
      <w:rPr>
        <w:i/>
        <w:iCs w:val="0"/>
        <w:noProof/>
        <w:color w:val="16A07F"/>
      </w:rPr>
      <mc:AlternateContent>
        <mc:Choice Requires="wps">
          <w:drawing>
            <wp:anchor distT="0" distB="0" distL="114300" distR="114300" simplePos="0" relativeHeight="251670528" behindDoc="0" locked="0" layoutInCell="1" allowOverlap="1" wp14:anchorId="49973C36" wp14:editId="49EDD116">
              <wp:simplePos x="0" y="0"/>
              <wp:positionH relativeFrom="column">
                <wp:posOffset>1447800</wp:posOffset>
              </wp:positionH>
              <wp:positionV relativeFrom="paragraph">
                <wp:posOffset>149860</wp:posOffset>
              </wp:positionV>
              <wp:extent cx="317500" cy="317500"/>
              <wp:effectExtent l="0" t="0" r="0" b="0"/>
              <wp:wrapNone/>
              <wp:docPr id="19" name="Rectangle 2">
                <a:hlinkClick xmlns:a="http://schemas.openxmlformats.org/drawingml/2006/main" r:id="rId4"/>
              </wp:docPr>
              <wp:cNvGraphicFramePr/>
              <a:graphic xmlns:a="http://schemas.openxmlformats.org/drawingml/2006/main">
                <a:graphicData uri="http://schemas.microsoft.com/office/word/2010/wordprocessingShape">
                  <wps:wsp>
                    <wps:cNvSpPr/>
                    <wps:spPr>
                      <a:xfrm>
                        <a:off x="0" y="0"/>
                        <a:ext cx="317500" cy="31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B8DB4" id="Rectangle 2" o:spid="_x0000_s1026" href="http://www.twitter.com/" style="position:absolute;margin-left:114pt;margin-top:11.8pt;width:2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" o:button="t" filled="f" stroked="f" strokeweight="1pt">
              <v:fill o:detectmouseclick="t"/>
            </v:rect>
          </w:pict>
        </mc:Fallback>
      </mc:AlternateContent>
    </w:r>
  </w:p>
  <w:p w14:paraId="0F322B59" w14:textId="01C13CEA" w:rsidR="00372CF4" w:rsidRPr="00372CF4" w:rsidRDefault="00760E67" w:rsidP="00372CF4">
    <w:pPr>
      <w:jc w:val="center"/>
      <w:rPr>
        <w:i/>
        <w:iCs w:val="0"/>
        <w:color w:val="16A07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C2EDB" w14:textId="77777777" w:rsidR="00760E67" w:rsidRDefault="00760E67">
      <w:r>
        <w:separator/>
      </w:r>
    </w:p>
  </w:footnote>
  <w:footnote w:type="continuationSeparator" w:id="0">
    <w:p w14:paraId="1D191FBF" w14:textId="77777777" w:rsidR="00760E67" w:rsidRDefault="00760E67">
      <w:r>
        <w:continuationSeparator/>
      </w:r>
    </w:p>
  </w:footnote>
  <w:footnote w:id="1">
    <w:p w14:paraId="56B1F963" w14:textId="77777777" w:rsidR="00D9754D" w:rsidRPr="00870BBA" w:rsidRDefault="00CE2957">
      <w:pPr>
        <w:pStyle w:val="Textonotapie"/>
        <w:rPr>
          <w:lang w:val="es-CL"/>
        </w:rPr>
      </w:pPr>
      <w:r>
        <w:rPr>
          <w:rStyle w:val="Refdenotaalpie"/>
        </w:rPr>
        <w:footnoteRef/>
      </w:r>
      <w:r w:rsidRPr="00870BBA">
        <w:rPr>
          <w:lang w:val="es-CL"/>
        </w:rPr>
        <w:t xml:space="preserve"> Estos datos consideran los cambios introducidos por el INE en su proceso de actualización de los datos de Empleo y todos los cambios recientes introducidos para mitigar los efectos del COVID-19 en el proceso y calidad de recolección de los datos. Más información en este </w:t>
      </w:r>
      <w:hyperlink r:id="rId1">
        <w:r w:rsidRPr="00870BBA">
          <w:rPr>
            <w:rStyle w:val="Hipervnculo"/>
            <w:lang w:val="es-CL"/>
          </w:rPr>
          <w:t>link</w:t>
        </w:r>
      </w:hyperlink>
    </w:p>
  </w:footnote>
  <w:footnote w:id="2">
    <w:p w14:paraId="04B93A3D" w14:textId="77777777" w:rsidR="00D9754D" w:rsidRPr="00870BBA" w:rsidRDefault="00CE2957">
      <w:pPr>
        <w:pStyle w:val="Textonotapie"/>
        <w:rPr>
          <w:lang w:val="es-CL"/>
        </w:rPr>
      </w:pPr>
      <w:r>
        <w:rPr>
          <w:rStyle w:val="Refdenotaalpie"/>
        </w:rPr>
        <w:footnoteRef/>
      </w:r>
      <w:r w:rsidRPr="00870BBA">
        <w:rPr>
          <w:lang w:val="es-CL"/>
        </w:rPr>
        <w:t xml:space="preserve"> Los datos de los cesantes por industria no fueron liberados por el INE al término de la elaboración de este boletín, lo que impide proveer el desglose de los cesantes y sus variaciones por sector industrial.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58EF7" w14:textId="6342E2CE" w:rsidR="00016202" w:rsidRPr="00C77A37" w:rsidRDefault="00016202" w:rsidP="00016202">
    <w:pPr>
      <w:pStyle w:val="NormalWeb"/>
      <w:shd w:val="clear" w:color="auto" w:fill="FFFFFF"/>
      <w:spacing w:before="0" w:beforeAutospacing="0" w:after="0" w:afterAutospacing="0"/>
      <w:rPr>
        <w:rFonts w:ascii="Bitter" w:hAnsi="Bitter" w:cs="Ayuthaya"/>
        <w:b/>
        <w:color w:val="545353"/>
        <w:sz w:val="60"/>
        <w:szCs w:val="60"/>
      </w:rPr>
    </w:pPr>
    <w:r w:rsidRPr="00C77A37">
      <w:rPr>
        <w:rFonts w:ascii="Bitter" w:hAnsi="Bitter"/>
        <w:b/>
        <w:noProof/>
        <w:color w:val="545353"/>
        <w:lang w:val="es-CL" w:eastAsia="es-CL"/>
      </w:rPr>
      <w:drawing>
        <wp:anchor distT="0" distB="0" distL="114300" distR="114300" simplePos="0" relativeHeight="251679744" behindDoc="0" locked="0" layoutInCell="1" allowOverlap="1" wp14:anchorId="4F0A8840" wp14:editId="10CDA8CF">
          <wp:simplePos x="0" y="0"/>
          <wp:positionH relativeFrom="margin">
            <wp:align>left</wp:align>
          </wp:positionH>
          <wp:positionV relativeFrom="paragraph">
            <wp:posOffset>112757</wp:posOffset>
          </wp:positionV>
          <wp:extent cx="1496060" cy="640080"/>
          <wp:effectExtent l="0" t="0" r="8890" b="7620"/>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CEPR.JPG"/>
                  <pic:cNvPicPr/>
                </pic:nvPicPr>
                <pic:blipFill>
                  <a:blip r:embed="rId1">
                    <a:extLst>
                      <a:ext uri="{28A0092B-C50C-407E-A947-70E740481C1C}">
                        <a14:useLocalDpi xmlns:a14="http://schemas.microsoft.com/office/drawing/2010/main" val="0"/>
                      </a:ext>
                    </a:extLst>
                  </a:blip>
                  <a:stretch>
                    <a:fillRect/>
                  </a:stretch>
                </pic:blipFill>
                <pic:spPr>
                  <a:xfrm>
                    <a:off x="0" y="0"/>
                    <a:ext cx="1496060" cy="640080"/>
                  </a:xfrm>
                  <a:prstGeom prst="rect">
                    <a:avLst/>
                  </a:prstGeom>
                </pic:spPr>
              </pic:pic>
            </a:graphicData>
          </a:graphic>
          <wp14:sizeRelH relativeFrom="page">
            <wp14:pctWidth>0</wp14:pctWidth>
          </wp14:sizeRelH>
          <wp14:sizeRelV relativeFrom="page">
            <wp14:pctHeight>0</wp14:pctHeight>
          </wp14:sizeRelV>
        </wp:anchor>
      </w:drawing>
    </w:r>
  </w:p>
  <w:p w14:paraId="2791FD32" w14:textId="6F2B5E17" w:rsidR="00001FFB" w:rsidRPr="00016202" w:rsidRDefault="00760E67" w:rsidP="000162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29BD63A"/>
    <w:multiLevelType w:val="multilevel"/>
    <w:tmpl w:val="3CC018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C49F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38EF92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FFFFFF7C"/>
    <w:multiLevelType w:val="singleLevel"/>
    <w:tmpl w:val="AF608416"/>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DF78C202"/>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7FF09BE8"/>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A9EA04EA"/>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BE7629F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95ECF84C"/>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0BDE8296"/>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1512B456"/>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054A655A"/>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CD302D6E"/>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14D20376"/>
    <w:multiLevelType w:val="hybridMultilevel"/>
    <w:tmpl w:val="C5364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8B64E3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 w:numId="15">
    <w:abstractNumId w:val="14"/>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6FBB"/>
    <w:rsid w:val="00011C8B"/>
    <w:rsid w:val="00016202"/>
    <w:rsid w:val="00035FF0"/>
    <w:rsid w:val="0004256D"/>
    <w:rsid w:val="000F4C5E"/>
    <w:rsid w:val="001216A4"/>
    <w:rsid w:val="001B03BE"/>
    <w:rsid w:val="002333D4"/>
    <w:rsid w:val="002869EC"/>
    <w:rsid w:val="002B3BFE"/>
    <w:rsid w:val="00331C8C"/>
    <w:rsid w:val="003C2AF5"/>
    <w:rsid w:val="004334FA"/>
    <w:rsid w:val="00436DA0"/>
    <w:rsid w:val="004A0247"/>
    <w:rsid w:val="004C5847"/>
    <w:rsid w:val="004E29B3"/>
    <w:rsid w:val="00570C82"/>
    <w:rsid w:val="00590D07"/>
    <w:rsid w:val="005D459E"/>
    <w:rsid w:val="006C5D48"/>
    <w:rsid w:val="006F341B"/>
    <w:rsid w:val="007336CE"/>
    <w:rsid w:val="00760E67"/>
    <w:rsid w:val="0078040E"/>
    <w:rsid w:val="00784D58"/>
    <w:rsid w:val="007A4177"/>
    <w:rsid w:val="00807DC5"/>
    <w:rsid w:val="00823A77"/>
    <w:rsid w:val="00866B6E"/>
    <w:rsid w:val="00870BBA"/>
    <w:rsid w:val="008C6CFB"/>
    <w:rsid w:val="008D6863"/>
    <w:rsid w:val="008E4E3E"/>
    <w:rsid w:val="009F01DE"/>
    <w:rsid w:val="00A25966"/>
    <w:rsid w:val="00AB0C49"/>
    <w:rsid w:val="00B0785C"/>
    <w:rsid w:val="00B85AD3"/>
    <w:rsid w:val="00B86B75"/>
    <w:rsid w:val="00B95320"/>
    <w:rsid w:val="00BC48D5"/>
    <w:rsid w:val="00C36279"/>
    <w:rsid w:val="00C40D47"/>
    <w:rsid w:val="00CA1049"/>
    <w:rsid w:val="00CA4EA3"/>
    <w:rsid w:val="00CA7834"/>
    <w:rsid w:val="00CE2957"/>
    <w:rsid w:val="00D9754D"/>
    <w:rsid w:val="00DA5A43"/>
    <w:rsid w:val="00DB31B7"/>
    <w:rsid w:val="00DC126F"/>
    <w:rsid w:val="00E315A3"/>
    <w:rsid w:val="00ED6ABC"/>
    <w:rsid w:val="00EE32C3"/>
    <w:rsid w:val="00F069C4"/>
    <w:rsid w:val="00F27DB9"/>
    <w:rsid w:val="00F34B55"/>
    <w:rsid w:val="00F362C7"/>
    <w:rsid w:val="00FD1A02"/>
    <w:rsid w:val="00FD681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CC6E3"/>
  <w15:docId w15:val="{4C38B5FE-DBD1-48D3-B955-69511E174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7A37"/>
    <w:rPr>
      <w:rFonts w:ascii="Bitter" w:hAnsi="Bitter"/>
      <w:iCs/>
      <w:sz w:val="18"/>
      <w:szCs w:val="20"/>
    </w:rPr>
  </w:style>
  <w:style w:type="paragraph" w:styleId="Ttulo1">
    <w:name w:val="heading 1"/>
    <w:basedOn w:val="Normal"/>
    <w:next w:val="Normal"/>
    <w:link w:val="Ttulo1Car"/>
    <w:uiPriority w:val="9"/>
    <w:qFormat/>
    <w:rsid w:val="0042476E"/>
    <w:pPr>
      <w:pBdr>
        <w:top w:val="single" w:sz="8" w:space="0" w:color="58B6C0" w:themeColor="accent2"/>
        <w:left w:val="single" w:sz="8" w:space="0" w:color="58B6C0" w:themeColor="accent2"/>
        <w:bottom w:val="single" w:sz="8" w:space="0" w:color="58B6C0" w:themeColor="accent2"/>
        <w:right w:val="single" w:sz="8" w:space="0" w:color="58B6C0" w:themeColor="accent2"/>
      </w:pBdr>
      <w:shd w:val="clear" w:color="auto" w:fill="DDF0F2" w:themeFill="accent2" w:themeFillTint="33"/>
      <w:spacing w:before="480" w:after="100" w:line="269" w:lineRule="auto"/>
      <w:contextualSpacing/>
      <w:outlineLvl w:val="0"/>
    </w:pPr>
    <w:rPr>
      <w:rFonts w:eastAsiaTheme="majorEastAsia" w:cstheme="majorBidi"/>
      <w:b/>
      <w:bCs/>
      <w:color w:val="265E65" w:themeColor="accent2" w:themeShade="7F"/>
      <w:sz w:val="22"/>
      <w:szCs w:val="22"/>
    </w:rPr>
  </w:style>
  <w:style w:type="paragraph" w:styleId="Ttulo2">
    <w:name w:val="heading 2"/>
    <w:basedOn w:val="Normal"/>
    <w:next w:val="Normal"/>
    <w:link w:val="Ttulo2Car"/>
    <w:uiPriority w:val="9"/>
    <w:unhideWhenUsed/>
    <w:qFormat/>
    <w:rsid w:val="00C77A37"/>
    <w:pPr>
      <w:pBdr>
        <w:top w:val="single" w:sz="4" w:space="0" w:color="58B6C0" w:themeColor="accent2"/>
        <w:left w:val="single" w:sz="48" w:space="2" w:color="58B6C0" w:themeColor="accent2"/>
        <w:bottom w:val="single" w:sz="4" w:space="0" w:color="58B6C0" w:themeColor="accent2"/>
        <w:right w:val="single" w:sz="4" w:space="4" w:color="58B6C0" w:themeColor="accent2"/>
      </w:pBdr>
      <w:spacing w:before="200" w:after="100" w:line="269" w:lineRule="auto"/>
      <w:ind w:left="144"/>
      <w:contextualSpacing/>
      <w:outlineLvl w:val="1"/>
    </w:pPr>
    <w:rPr>
      <w:rFonts w:eastAsiaTheme="majorEastAsia" w:cstheme="majorBidi"/>
      <w:b/>
      <w:bCs/>
      <w:color w:val="00A297"/>
      <w:sz w:val="22"/>
      <w:szCs w:val="22"/>
    </w:rPr>
  </w:style>
  <w:style w:type="paragraph" w:styleId="Ttulo3">
    <w:name w:val="heading 3"/>
    <w:basedOn w:val="Normal"/>
    <w:next w:val="Normal"/>
    <w:link w:val="Ttulo3Car"/>
    <w:uiPriority w:val="9"/>
    <w:unhideWhenUsed/>
    <w:qFormat/>
    <w:rsid w:val="0042476E"/>
    <w:pPr>
      <w:pBdr>
        <w:left w:val="single" w:sz="48" w:space="2" w:color="58B6C0" w:themeColor="accent2"/>
        <w:bottom w:val="single" w:sz="4" w:space="0" w:color="58B6C0" w:themeColor="accent2"/>
      </w:pBdr>
      <w:spacing w:before="200" w:after="100" w:line="240" w:lineRule="auto"/>
      <w:ind w:left="144"/>
      <w:contextualSpacing/>
      <w:outlineLvl w:val="2"/>
    </w:pPr>
    <w:rPr>
      <w:rFonts w:eastAsiaTheme="majorEastAsia" w:cstheme="majorBidi"/>
      <w:b/>
      <w:bCs/>
      <w:color w:val="398E98" w:themeColor="accent2" w:themeShade="BF"/>
      <w:sz w:val="22"/>
      <w:szCs w:val="22"/>
    </w:rPr>
  </w:style>
  <w:style w:type="paragraph" w:styleId="Ttulo4">
    <w:name w:val="heading 4"/>
    <w:basedOn w:val="Normal"/>
    <w:next w:val="Normal"/>
    <w:link w:val="Ttulo4Car"/>
    <w:uiPriority w:val="9"/>
    <w:unhideWhenUsed/>
    <w:qFormat/>
    <w:rsid w:val="00DF705C"/>
    <w:pPr>
      <w:pBdr>
        <w:left w:val="single" w:sz="4" w:space="2" w:color="58B6C0" w:themeColor="accent2"/>
        <w:bottom w:val="single" w:sz="4" w:space="2" w:color="58B6C0" w:themeColor="accent2"/>
      </w:pBdr>
      <w:spacing w:before="200" w:after="100" w:line="240" w:lineRule="auto"/>
      <w:ind w:left="86"/>
      <w:contextualSpacing/>
      <w:outlineLvl w:val="3"/>
    </w:pPr>
    <w:rPr>
      <w:rFonts w:eastAsiaTheme="majorEastAsia" w:cstheme="majorBidi"/>
      <w:b/>
      <w:bCs/>
      <w:color w:val="00A297"/>
      <w:szCs w:val="22"/>
    </w:rPr>
  </w:style>
  <w:style w:type="paragraph" w:styleId="Ttulo5">
    <w:name w:val="heading 5"/>
    <w:basedOn w:val="Normal"/>
    <w:next w:val="Normal"/>
    <w:link w:val="Ttulo5Car"/>
    <w:uiPriority w:val="9"/>
    <w:unhideWhenUsed/>
    <w:qFormat/>
    <w:rsid w:val="00526EAB"/>
    <w:pPr>
      <w:pBdr>
        <w:left w:val="dotted" w:sz="4" w:space="2" w:color="58B6C0" w:themeColor="accent2"/>
        <w:bottom w:val="dotted" w:sz="4" w:space="2" w:color="58B6C0" w:themeColor="accent2"/>
      </w:pBdr>
      <w:spacing w:before="200" w:after="100" w:line="240" w:lineRule="auto"/>
      <w:ind w:left="86"/>
      <w:contextualSpacing/>
      <w:outlineLvl w:val="4"/>
    </w:pPr>
    <w:rPr>
      <w:rFonts w:asciiTheme="majorHAnsi" w:eastAsiaTheme="majorEastAsia" w:hAnsiTheme="majorHAnsi" w:cstheme="majorBidi"/>
      <w:b/>
      <w:bCs/>
      <w:color w:val="398E98" w:themeColor="accent2" w:themeShade="BF"/>
      <w:sz w:val="22"/>
      <w:szCs w:val="22"/>
    </w:rPr>
  </w:style>
  <w:style w:type="paragraph" w:styleId="Ttulo6">
    <w:name w:val="heading 6"/>
    <w:basedOn w:val="Normal"/>
    <w:next w:val="Normal"/>
    <w:link w:val="Ttulo6Car"/>
    <w:uiPriority w:val="9"/>
    <w:unhideWhenUsed/>
    <w:qFormat/>
    <w:rsid w:val="00526EAB"/>
    <w:pPr>
      <w:pBdr>
        <w:bottom w:val="single" w:sz="4" w:space="2" w:color="BCE1E5" w:themeColor="accent2" w:themeTint="66"/>
      </w:pBdr>
      <w:spacing w:before="200" w:after="100" w:line="240" w:lineRule="auto"/>
      <w:contextualSpacing/>
      <w:outlineLvl w:val="5"/>
    </w:pPr>
    <w:rPr>
      <w:rFonts w:asciiTheme="majorHAnsi" w:eastAsiaTheme="majorEastAsia" w:hAnsiTheme="majorHAnsi" w:cstheme="majorBidi"/>
      <w:color w:val="398E98" w:themeColor="accent2" w:themeShade="BF"/>
      <w:sz w:val="22"/>
      <w:szCs w:val="22"/>
    </w:rPr>
  </w:style>
  <w:style w:type="paragraph" w:styleId="Ttulo7">
    <w:name w:val="heading 7"/>
    <w:basedOn w:val="Normal"/>
    <w:next w:val="Normal"/>
    <w:link w:val="Ttulo7Car"/>
    <w:uiPriority w:val="9"/>
    <w:unhideWhenUsed/>
    <w:qFormat/>
    <w:rsid w:val="00526EAB"/>
    <w:pPr>
      <w:pBdr>
        <w:bottom w:val="dotted" w:sz="4" w:space="2" w:color="9AD3D9" w:themeColor="accent2" w:themeTint="99"/>
      </w:pBdr>
      <w:spacing w:before="200" w:after="100" w:line="240" w:lineRule="auto"/>
      <w:contextualSpacing/>
      <w:outlineLvl w:val="6"/>
    </w:pPr>
    <w:rPr>
      <w:rFonts w:asciiTheme="majorHAnsi" w:eastAsiaTheme="majorEastAsia" w:hAnsiTheme="majorHAnsi" w:cstheme="majorBidi"/>
      <w:color w:val="398E98" w:themeColor="accent2" w:themeShade="BF"/>
      <w:sz w:val="22"/>
      <w:szCs w:val="22"/>
    </w:rPr>
  </w:style>
  <w:style w:type="paragraph" w:styleId="Ttulo8">
    <w:name w:val="heading 8"/>
    <w:basedOn w:val="Normal"/>
    <w:next w:val="Normal"/>
    <w:link w:val="Ttulo8Car"/>
    <w:uiPriority w:val="9"/>
    <w:unhideWhenUsed/>
    <w:qFormat/>
    <w:rsid w:val="00526EAB"/>
    <w:pPr>
      <w:spacing w:before="200" w:after="100" w:line="240" w:lineRule="auto"/>
      <w:contextualSpacing/>
      <w:outlineLvl w:val="7"/>
    </w:pPr>
    <w:rPr>
      <w:rFonts w:asciiTheme="majorHAnsi" w:eastAsiaTheme="majorEastAsia" w:hAnsiTheme="majorHAnsi" w:cstheme="majorBidi"/>
      <w:color w:val="58B6C0" w:themeColor="accent2"/>
      <w:sz w:val="22"/>
      <w:szCs w:val="22"/>
    </w:rPr>
  </w:style>
  <w:style w:type="paragraph" w:styleId="Ttulo9">
    <w:name w:val="heading 9"/>
    <w:basedOn w:val="Normal"/>
    <w:next w:val="Normal"/>
    <w:link w:val="Ttulo9Car"/>
    <w:uiPriority w:val="9"/>
    <w:unhideWhenUsed/>
    <w:qFormat/>
    <w:rsid w:val="00526EAB"/>
    <w:pPr>
      <w:spacing w:before="200" w:after="100" w:line="240" w:lineRule="auto"/>
      <w:contextualSpacing/>
      <w:outlineLvl w:val="8"/>
    </w:pPr>
    <w:rPr>
      <w:rFonts w:asciiTheme="majorHAnsi" w:eastAsiaTheme="majorEastAsia" w:hAnsiTheme="majorHAnsi" w:cstheme="majorBidi"/>
      <w:color w:val="58B6C0" w:themeColor="accen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pPr>
      <w:spacing w:before="36" w:after="36"/>
    </w:pPr>
  </w:style>
  <w:style w:type="paragraph" w:styleId="Ttulo">
    <w:name w:val="Title"/>
    <w:basedOn w:val="Normal"/>
    <w:next w:val="Normal"/>
    <w:link w:val="TtuloCar"/>
    <w:uiPriority w:val="10"/>
    <w:qFormat/>
    <w:rsid w:val="001433A3"/>
    <w:pPr>
      <w:spacing w:after="0" w:line="240" w:lineRule="auto"/>
    </w:pPr>
    <w:rPr>
      <w:rFonts w:eastAsia="Times New Roman" w:cstheme="minorHAnsi"/>
      <w:b/>
      <w:bCs/>
      <w:iCs w:val="0"/>
      <w:color w:val="000000" w:themeColor="text1"/>
      <w:sz w:val="56"/>
      <w:szCs w:val="56"/>
      <w:lang w:val="es-ES_tradnl"/>
    </w:rPr>
  </w:style>
  <w:style w:type="paragraph" w:styleId="Subttulo">
    <w:name w:val="Subtitle"/>
    <w:basedOn w:val="Normal"/>
    <w:next w:val="Normal"/>
    <w:link w:val="SubttuloCar"/>
    <w:uiPriority w:val="11"/>
    <w:qFormat/>
    <w:rsid w:val="001433A3"/>
    <w:pPr>
      <w:spacing w:after="0" w:line="240" w:lineRule="auto"/>
    </w:pPr>
    <w:rPr>
      <w:rFonts w:eastAsia="Times New Roman" w:cstheme="minorHAnsi"/>
      <w:b/>
      <w:bCs/>
      <w:iCs w:val="0"/>
      <w:color w:val="000000" w:themeColor="text1"/>
      <w:sz w:val="24"/>
      <w:szCs w:val="56"/>
      <w:lang w:val="es-ES_tradnl"/>
    </w:rPr>
  </w:style>
  <w:style w:type="paragraph" w:customStyle="1" w:styleId="Author">
    <w:name w:val="Author"/>
    <w:basedOn w:val="Subttulo"/>
    <w:next w:val="Textoindependiente"/>
    <w:qFormat/>
    <w:rsid w:val="00D85430"/>
  </w:style>
  <w:style w:type="paragraph" w:styleId="Fecha">
    <w:name w:val="Date"/>
    <w:next w:val="Textoindependiente"/>
    <w:link w:val="FechaCar"/>
    <w:pPr>
      <w:keepNext/>
      <w:keepLines/>
      <w:jc w:val="center"/>
    </w:pPr>
  </w:style>
  <w:style w:type="paragraph" w:customStyle="1" w:styleId="Abstract">
    <w:name w:val="Abstract"/>
    <w:basedOn w:val="Normal"/>
    <w:next w:val="Textoindependiente"/>
    <w:pPr>
      <w:keepNext/>
      <w:keepLines/>
      <w:spacing w:before="300" w:after="300"/>
    </w:pPr>
  </w:style>
  <w:style w:type="paragraph" w:styleId="Bibliografa">
    <w:name w:val="Bibliography"/>
    <w:basedOn w:val="Normal"/>
  </w:style>
  <w:style w:type="paragraph" w:styleId="Textodebloque">
    <w:name w:val="Block Text"/>
    <w:basedOn w:val="Textoindependiente"/>
    <w:next w:val="Textoindependiente"/>
    <w:uiPriority w:val="9"/>
    <w:unhideWhenUsed/>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next w:val="Normal"/>
    <w:link w:val="DescripcinCar"/>
    <w:uiPriority w:val="35"/>
    <w:unhideWhenUsed/>
    <w:qFormat/>
    <w:rsid w:val="00526EAB"/>
    <w:rPr>
      <w:b/>
      <w:bCs/>
      <w:color w:val="398E98" w:themeColor="accent2" w:themeShade="BF"/>
      <w:szCs w:val="18"/>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DescripcinCar">
    <w:name w:val="Descripción Car"/>
    <w:basedOn w:val="Fuentedeprrafopredeter"/>
    <w:link w:val="Descripcin"/>
    <w:uiPriority w:val="35"/>
    <w:rPr>
      <w:b/>
      <w:bCs/>
      <w:i/>
      <w:iCs/>
      <w:color w:val="398E98" w:themeColor="accent2" w:themeShade="BF"/>
      <w:sz w:val="18"/>
      <w:szCs w:val="18"/>
    </w:rPr>
  </w:style>
  <w:style w:type="character" w:customStyle="1" w:styleId="VerbatimChar">
    <w:name w:val="Verbatim Char"/>
    <w:basedOn w:val="DescripcinCar"/>
    <w:link w:val="SourceCode"/>
    <w:rPr>
      <w:rFonts w:ascii="Consolas" w:hAnsi="Consolas"/>
      <w:b/>
      <w:bCs/>
      <w:i/>
      <w:iCs/>
      <w:color w:val="398E98" w:themeColor="accent2" w:themeShade="BF"/>
      <w:sz w:val="22"/>
      <w:szCs w:val="18"/>
    </w:rPr>
  </w:style>
  <w:style w:type="character" w:styleId="Refdenotaalpie">
    <w:name w:val="footnote reference"/>
    <w:basedOn w:val="DescripcinCar"/>
    <w:rPr>
      <w:b/>
      <w:bCs/>
      <w:i/>
      <w:iCs/>
      <w:color w:val="398E98" w:themeColor="accent2" w:themeShade="BF"/>
      <w:sz w:val="18"/>
      <w:szCs w:val="18"/>
      <w:vertAlign w:val="superscript"/>
    </w:rPr>
  </w:style>
  <w:style w:type="character" w:styleId="Hipervnculo">
    <w:name w:val="Hyperlink"/>
    <w:basedOn w:val="DescripcinCar"/>
    <w:rPr>
      <w:b/>
      <w:bCs/>
      <w:i/>
      <w:iCs/>
      <w:color w:val="3494BA" w:themeColor="accent1"/>
      <w:sz w:val="18"/>
      <w:szCs w:val="18"/>
    </w:rPr>
  </w:style>
  <w:style w:type="paragraph" w:styleId="TtuloTDC">
    <w:name w:val="TOC Heading"/>
    <w:basedOn w:val="Ttulo1"/>
    <w:next w:val="Normal"/>
    <w:uiPriority w:val="39"/>
    <w:unhideWhenUsed/>
    <w:qFormat/>
    <w:rsid w:val="00526EAB"/>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iCs/>
      <w:color w:val="204A87"/>
      <w:sz w:val="22"/>
      <w:szCs w:val="18"/>
      <w:shd w:val="clear" w:color="auto" w:fill="F8F8F8"/>
    </w:rPr>
  </w:style>
  <w:style w:type="character" w:customStyle="1" w:styleId="DataTypeTok">
    <w:name w:val="DataTypeTok"/>
    <w:basedOn w:val="VerbatimChar"/>
    <w:rPr>
      <w:rFonts w:ascii="Consolas" w:hAnsi="Consolas"/>
      <w:b/>
      <w:bCs/>
      <w:i/>
      <w:iCs/>
      <w:color w:val="204A87"/>
      <w:sz w:val="22"/>
      <w:szCs w:val="18"/>
      <w:shd w:val="clear" w:color="auto" w:fill="F8F8F8"/>
    </w:rPr>
  </w:style>
  <w:style w:type="character" w:customStyle="1" w:styleId="DecValTok">
    <w:name w:val="DecValTok"/>
    <w:basedOn w:val="VerbatimChar"/>
    <w:rPr>
      <w:rFonts w:ascii="Consolas" w:hAnsi="Consolas"/>
      <w:b/>
      <w:bCs/>
      <w:i/>
      <w:iCs/>
      <w:color w:val="0000CF"/>
      <w:sz w:val="22"/>
      <w:szCs w:val="18"/>
      <w:shd w:val="clear" w:color="auto" w:fill="F8F8F8"/>
    </w:rPr>
  </w:style>
  <w:style w:type="character" w:customStyle="1" w:styleId="BaseNTok">
    <w:name w:val="BaseNTok"/>
    <w:basedOn w:val="VerbatimChar"/>
    <w:rPr>
      <w:rFonts w:ascii="Consolas" w:hAnsi="Consolas"/>
      <w:b/>
      <w:bCs/>
      <w:i/>
      <w:iCs/>
      <w:color w:val="0000CF"/>
      <w:sz w:val="22"/>
      <w:szCs w:val="18"/>
      <w:shd w:val="clear" w:color="auto" w:fill="F8F8F8"/>
    </w:rPr>
  </w:style>
  <w:style w:type="character" w:customStyle="1" w:styleId="FloatTok">
    <w:name w:val="FloatTok"/>
    <w:basedOn w:val="VerbatimChar"/>
    <w:rPr>
      <w:rFonts w:ascii="Consolas" w:hAnsi="Consolas"/>
      <w:b/>
      <w:bCs/>
      <w:i/>
      <w:iCs/>
      <w:color w:val="0000CF"/>
      <w:sz w:val="22"/>
      <w:szCs w:val="18"/>
      <w:shd w:val="clear" w:color="auto" w:fill="F8F8F8"/>
    </w:rPr>
  </w:style>
  <w:style w:type="character" w:customStyle="1" w:styleId="ConstantTok">
    <w:name w:val="ConstantTok"/>
    <w:basedOn w:val="VerbatimChar"/>
    <w:rPr>
      <w:rFonts w:ascii="Consolas" w:hAnsi="Consolas"/>
      <w:b/>
      <w:bCs/>
      <w:i/>
      <w:iCs/>
      <w:color w:val="000000"/>
      <w:sz w:val="22"/>
      <w:szCs w:val="18"/>
      <w:shd w:val="clear" w:color="auto" w:fill="F8F8F8"/>
    </w:rPr>
  </w:style>
  <w:style w:type="character" w:customStyle="1" w:styleId="CharTok">
    <w:name w:val="CharTok"/>
    <w:basedOn w:val="VerbatimChar"/>
    <w:rPr>
      <w:rFonts w:ascii="Consolas" w:hAnsi="Consolas"/>
      <w:b/>
      <w:bCs/>
      <w:i/>
      <w:iCs/>
      <w:color w:val="4E9A06"/>
      <w:sz w:val="22"/>
      <w:szCs w:val="18"/>
      <w:shd w:val="clear" w:color="auto" w:fill="F8F8F8"/>
    </w:rPr>
  </w:style>
  <w:style w:type="character" w:customStyle="1" w:styleId="SpecialCharTok">
    <w:name w:val="SpecialCharTok"/>
    <w:basedOn w:val="VerbatimChar"/>
    <w:rPr>
      <w:rFonts w:ascii="Consolas" w:hAnsi="Consolas"/>
      <w:b/>
      <w:bCs/>
      <w:i/>
      <w:iCs/>
      <w:color w:val="000000"/>
      <w:sz w:val="22"/>
      <w:szCs w:val="18"/>
      <w:shd w:val="clear" w:color="auto" w:fill="F8F8F8"/>
    </w:rPr>
  </w:style>
  <w:style w:type="character" w:customStyle="1" w:styleId="StringTok">
    <w:name w:val="StringTok"/>
    <w:basedOn w:val="VerbatimChar"/>
    <w:rPr>
      <w:rFonts w:ascii="Consolas" w:hAnsi="Consolas"/>
      <w:b/>
      <w:bCs/>
      <w:i/>
      <w:iCs/>
      <w:color w:val="4E9A06"/>
      <w:sz w:val="22"/>
      <w:szCs w:val="18"/>
      <w:shd w:val="clear" w:color="auto" w:fill="F8F8F8"/>
    </w:rPr>
  </w:style>
  <w:style w:type="character" w:customStyle="1" w:styleId="VerbatimStringTok">
    <w:name w:val="VerbatimStringTok"/>
    <w:basedOn w:val="VerbatimChar"/>
    <w:rPr>
      <w:rFonts w:ascii="Consolas" w:hAnsi="Consolas"/>
      <w:b/>
      <w:bCs/>
      <w:i/>
      <w:iCs/>
      <w:color w:val="4E9A06"/>
      <w:sz w:val="22"/>
      <w:szCs w:val="18"/>
      <w:shd w:val="clear" w:color="auto" w:fill="F8F8F8"/>
    </w:rPr>
  </w:style>
  <w:style w:type="character" w:customStyle="1" w:styleId="SpecialStringTok">
    <w:name w:val="SpecialStringTok"/>
    <w:basedOn w:val="VerbatimChar"/>
    <w:rPr>
      <w:rFonts w:ascii="Consolas" w:hAnsi="Consolas"/>
      <w:b/>
      <w:bCs/>
      <w:i/>
      <w:iCs/>
      <w:color w:val="4E9A06"/>
      <w:sz w:val="22"/>
      <w:szCs w:val="18"/>
      <w:shd w:val="clear" w:color="auto" w:fill="F8F8F8"/>
    </w:rPr>
  </w:style>
  <w:style w:type="character" w:customStyle="1" w:styleId="ImportTok">
    <w:name w:val="ImportTok"/>
    <w:basedOn w:val="VerbatimChar"/>
    <w:rPr>
      <w:rFonts w:ascii="Consolas" w:hAnsi="Consolas"/>
      <w:b/>
      <w:bCs/>
      <w:i/>
      <w:iCs/>
      <w:color w:val="398E98" w:themeColor="accent2" w:themeShade="BF"/>
      <w:sz w:val="22"/>
      <w:szCs w:val="18"/>
      <w:shd w:val="clear" w:color="auto" w:fill="F8F8F8"/>
    </w:rPr>
  </w:style>
  <w:style w:type="character" w:customStyle="1" w:styleId="CommentTok">
    <w:name w:val="CommentTok"/>
    <w:basedOn w:val="VerbatimChar"/>
    <w:rPr>
      <w:rFonts w:ascii="Consolas" w:hAnsi="Consolas"/>
      <w:b/>
      <w:bCs/>
      <w:i w:val="0"/>
      <w:iCs/>
      <w:color w:val="8F5902"/>
      <w:sz w:val="22"/>
      <w:szCs w:val="18"/>
      <w:shd w:val="clear" w:color="auto" w:fill="F8F8F8"/>
    </w:rPr>
  </w:style>
  <w:style w:type="character" w:customStyle="1" w:styleId="DocumentationTok">
    <w:name w:val="DocumentationTok"/>
    <w:basedOn w:val="VerbatimChar"/>
    <w:rPr>
      <w:rFonts w:ascii="Consolas" w:hAnsi="Consolas"/>
      <w:b w:val="0"/>
      <w:bCs/>
      <w:i w:val="0"/>
      <w:iCs/>
      <w:color w:val="8F5902"/>
      <w:sz w:val="22"/>
      <w:szCs w:val="18"/>
      <w:shd w:val="clear" w:color="auto" w:fill="F8F8F8"/>
    </w:rPr>
  </w:style>
  <w:style w:type="character" w:customStyle="1" w:styleId="AnnotationTok">
    <w:name w:val="AnnotationTok"/>
    <w:basedOn w:val="VerbatimChar"/>
    <w:rPr>
      <w:rFonts w:ascii="Consolas" w:hAnsi="Consolas"/>
      <w:b w:val="0"/>
      <w:bCs/>
      <w:i w:val="0"/>
      <w:iCs/>
      <w:color w:val="8F5902"/>
      <w:sz w:val="22"/>
      <w:szCs w:val="18"/>
      <w:shd w:val="clear" w:color="auto" w:fill="F8F8F8"/>
    </w:rPr>
  </w:style>
  <w:style w:type="character" w:customStyle="1" w:styleId="CommentVarTok">
    <w:name w:val="CommentVarTok"/>
    <w:basedOn w:val="VerbatimChar"/>
    <w:rPr>
      <w:rFonts w:ascii="Consolas" w:hAnsi="Consolas"/>
      <w:b w:val="0"/>
      <w:bCs/>
      <w:i w:val="0"/>
      <w:iCs/>
      <w:color w:val="8F5902"/>
      <w:sz w:val="22"/>
      <w:szCs w:val="18"/>
      <w:shd w:val="clear" w:color="auto" w:fill="F8F8F8"/>
    </w:rPr>
  </w:style>
  <w:style w:type="character" w:customStyle="1" w:styleId="OtherTok">
    <w:name w:val="OtherTok"/>
    <w:basedOn w:val="VerbatimChar"/>
    <w:rPr>
      <w:rFonts w:ascii="Consolas" w:hAnsi="Consolas"/>
      <w:b/>
      <w:bCs/>
      <w:i/>
      <w:iCs/>
      <w:color w:val="8F5902"/>
      <w:sz w:val="22"/>
      <w:szCs w:val="18"/>
      <w:shd w:val="clear" w:color="auto" w:fill="F8F8F8"/>
    </w:rPr>
  </w:style>
  <w:style w:type="character" w:customStyle="1" w:styleId="FunctionTok">
    <w:name w:val="FunctionTok"/>
    <w:basedOn w:val="VerbatimChar"/>
    <w:rPr>
      <w:rFonts w:ascii="Consolas" w:hAnsi="Consolas"/>
      <w:b/>
      <w:bCs/>
      <w:i/>
      <w:iCs/>
      <w:color w:val="000000"/>
      <w:sz w:val="22"/>
      <w:szCs w:val="18"/>
      <w:shd w:val="clear" w:color="auto" w:fill="F8F8F8"/>
    </w:rPr>
  </w:style>
  <w:style w:type="character" w:customStyle="1" w:styleId="VariableTok">
    <w:name w:val="VariableTok"/>
    <w:basedOn w:val="VerbatimChar"/>
    <w:rPr>
      <w:rFonts w:ascii="Consolas" w:hAnsi="Consolas"/>
      <w:b/>
      <w:bCs/>
      <w:i/>
      <w:iCs/>
      <w:color w:val="000000"/>
      <w:sz w:val="22"/>
      <w:szCs w:val="18"/>
      <w:shd w:val="clear" w:color="auto" w:fill="F8F8F8"/>
    </w:rPr>
  </w:style>
  <w:style w:type="character" w:customStyle="1" w:styleId="ControlFlowTok">
    <w:name w:val="ControlFlowTok"/>
    <w:basedOn w:val="VerbatimChar"/>
    <w:rPr>
      <w:rFonts w:ascii="Consolas" w:hAnsi="Consolas"/>
      <w:b w:val="0"/>
      <w:bCs/>
      <w:i/>
      <w:iCs/>
      <w:color w:val="204A87"/>
      <w:sz w:val="22"/>
      <w:szCs w:val="18"/>
      <w:shd w:val="clear" w:color="auto" w:fill="F8F8F8"/>
    </w:rPr>
  </w:style>
  <w:style w:type="character" w:customStyle="1" w:styleId="OperatorTok">
    <w:name w:val="OperatorTok"/>
    <w:basedOn w:val="VerbatimChar"/>
    <w:rPr>
      <w:rFonts w:ascii="Consolas" w:hAnsi="Consolas"/>
      <w:b w:val="0"/>
      <w:bCs/>
      <w:i/>
      <w:iCs/>
      <w:color w:val="CE5C00"/>
      <w:sz w:val="22"/>
      <w:szCs w:val="18"/>
      <w:shd w:val="clear" w:color="auto" w:fill="F8F8F8"/>
    </w:rPr>
  </w:style>
  <w:style w:type="character" w:customStyle="1" w:styleId="BuiltInTok">
    <w:name w:val="BuiltInTok"/>
    <w:basedOn w:val="VerbatimChar"/>
    <w:rPr>
      <w:rFonts w:ascii="Consolas" w:hAnsi="Consolas"/>
      <w:b/>
      <w:bCs/>
      <w:i/>
      <w:iCs/>
      <w:color w:val="398E98" w:themeColor="accent2" w:themeShade="BF"/>
      <w:sz w:val="22"/>
      <w:szCs w:val="18"/>
      <w:shd w:val="clear" w:color="auto" w:fill="F8F8F8"/>
    </w:rPr>
  </w:style>
  <w:style w:type="character" w:customStyle="1" w:styleId="ExtensionTok">
    <w:name w:val="ExtensionTok"/>
    <w:basedOn w:val="VerbatimChar"/>
    <w:rPr>
      <w:rFonts w:ascii="Consolas" w:hAnsi="Consolas"/>
      <w:b/>
      <w:bCs/>
      <w:i/>
      <w:iCs/>
      <w:color w:val="398E98" w:themeColor="accent2" w:themeShade="BF"/>
      <w:sz w:val="22"/>
      <w:szCs w:val="18"/>
      <w:shd w:val="clear" w:color="auto" w:fill="F8F8F8"/>
    </w:rPr>
  </w:style>
  <w:style w:type="character" w:customStyle="1" w:styleId="PreprocessorTok">
    <w:name w:val="PreprocessorTok"/>
    <w:basedOn w:val="VerbatimChar"/>
    <w:rPr>
      <w:rFonts w:ascii="Consolas" w:hAnsi="Consolas"/>
      <w:b/>
      <w:bCs/>
      <w:i w:val="0"/>
      <w:iCs/>
      <w:color w:val="8F5902"/>
      <w:sz w:val="22"/>
      <w:szCs w:val="18"/>
      <w:shd w:val="clear" w:color="auto" w:fill="F8F8F8"/>
    </w:rPr>
  </w:style>
  <w:style w:type="character" w:customStyle="1" w:styleId="AttributeTok">
    <w:name w:val="AttributeTok"/>
    <w:basedOn w:val="VerbatimChar"/>
    <w:rPr>
      <w:rFonts w:ascii="Consolas" w:hAnsi="Consolas"/>
      <w:b/>
      <w:bCs/>
      <w:i/>
      <w:iCs/>
      <w:color w:val="C4A000"/>
      <w:sz w:val="22"/>
      <w:szCs w:val="18"/>
      <w:shd w:val="clear" w:color="auto" w:fill="F8F8F8"/>
    </w:rPr>
  </w:style>
  <w:style w:type="character" w:customStyle="1" w:styleId="RegionMarkerTok">
    <w:name w:val="RegionMarkerTok"/>
    <w:basedOn w:val="VerbatimChar"/>
    <w:rPr>
      <w:rFonts w:ascii="Consolas" w:hAnsi="Consolas"/>
      <w:b/>
      <w:bCs/>
      <w:i/>
      <w:iCs/>
      <w:color w:val="398E98" w:themeColor="accent2" w:themeShade="BF"/>
      <w:sz w:val="22"/>
      <w:szCs w:val="18"/>
      <w:shd w:val="clear" w:color="auto" w:fill="F8F8F8"/>
    </w:rPr>
  </w:style>
  <w:style w:type="character" w:customStyle="1" w:styleId="InformationTok">
    <w:name w:val="InformationTok"/>
    <w:basedOn w:val="VerbatimChar"/>
    <w:rPr>
      <w:rFonts w:ascii="Consolas" w:hAnsi="Consolas"/>
      <w:b w:val="0"/>
      <w:bCs/>
      <w:i w:val="0"/>
      <w:iCs/>
      <w:color w:val="8F5902"/>
      <w:sz w:val="22"/>
      <w:szCs w:val="18"/>
      <w:shd w:val="clear" w:color="auto" w:fill="F8F8F8"/>
    </w:rPr>
  </w:style>
  <w:style w:type="character" w:customStyle="1" w:styleId="WarningTok">
    <w:name w:val="WarningTok"/>
    <w:basedOn w:val="VerbatimChar"/>
    <w:rPr>
      <w:rFonts w:ascii="Consolas" w:hAnsi="Consolas"/>
      <w:b w:val="0"/>
      <w:bCs/>
      <w:i w:val="0"/>
      <w:iCs/>
      <w:color w:val="8F5902"/>
      <w:sz w:val="22"/>
      <w:szCs w:val="18"/>
      <w:shd w:val="clear" w:color="auto" w:fill="F8F8F8"/>
    </w:rPr>
  </w:style>
  <w:style w:type="character" w:customStyle="1" w:styleId="AlertTok">
    <w:name w:val="AlertTok"/>
    <w:basedOn w:val="VerbatimChar"/>
    <w:rPr>
      <w:rFonts w:ascii="Consolas" w:hAnsi="Consolas"/>
      <w:b/>
      <w:bCs/>
      <w:i/>
      <w:iCs/>
      <w:color w:val="EF2929"/>
      <w:sz w:val="22"/>
      <w:szCs w:val="18"/>
      <w:shd w:val="clear" w:color="auto" w:fill="F8F8F8"/>
    </w:rPr>
  </w:style>
  <w:style w:type="character" w:customStyle="1" w:styleId="ErrorTok">
    <w:name w:val="ErrorTok"/>
    <w:basedOn w:val="VerbatimChar"/>
    <w:rPr>
      <w:rFonts w:ascii="Consolas" w:hAnsi="Consolas"/>
      <w:b w:val="0"/>
      <w:bCs/>
      <w:i/>
      <w:iCs/>
      <w:color w:val="A40000"/>
      <w:sz w:val="22"/>
      <w:szCs w:val="18"/>
      <w:shd w:val="clear" w:color="auto" w:fill="F8F8F8"/>
    </w:rPr>
  </w:style>
  <w:style w:type="character" w:customStyle="1" w:styleId="NormalTok">
    <w:name w:val="NormalTok"/>
    <w:basedOn w:val="VerbatimChar"/>
    <w:rPr>
      <w:rFonts w:ascii="Consolas" w:hAnsi="Consolas"/>
      <w:b/>
      <w:bCs/>
      <w:i/>
      <w:iCs/>
      <w:color w:val="398E98" w:themeColor="accent2" w:themeShade="BF"/>
      <w:sz w:val="22"/>
      <w:szCs w:val="18"/>
      <w:shd w:val="clear" w:color="auto" w:fill="F8F8F8"/>
    </w:rPr>
  </w:style>
  <w:style w:type="paragraph" w:styleId="Encabezado">
    <w:name w:val="header"/>
    <w:basedOn w:val="Normal"/>
    <w:link w:val="EncabezadoCar"/>
    <w:unhideWhenUsed/>
    <w:rsid w:val="00001FFB"/>
    <w:pPr>
      <w:tabs>
        <w:tab w:val="center" w:pos="4680"/>
        <w:tab w:val="right" w:pos="9360"/>
      </w:tabs>
      <w:spacing w:after="0"/>
    </w:pPr>
  </w:style>
  <w:style w:type="character" w:customStyle="1" w:styleId="EncabezadoCar">
    <w:name w:val="Encabezado Car"/>
    <w:basedOn w:val="Fuentedeprrafopredeter"/>
    <w:link w:val="Encabezado"/>
    <w:rsid w:val="00001FFB"/>
  </w:style>
  <w:style w:type="paragraph" w:styleId="Piedepgina">
    <w:name w:val="footer"/>
    <w:basedOn w:val="Normal"/>
    <w:link w:val="PiedepginaCar"/>
    <w:unhideWhenUsed/>
    <w:rsid w:val="00001FFB"/>
    <w:pPr>
      <w:tabs>
        <w:tab w:val="center" w:pos="4680"/>
        <w:tab w:val="right" w:pos="9360"/>
      </w:tabs>
      <w:spacing w:after="0"/>
    </w:pPr>
  </w:style>
  <w:style w:type="character" w:customStyle="1" w:styleId="PiedepginaCar">
    <w:name w:val="Pie de página Car"/>
    <w:basedOn w:val="Fuentedeprrafopredeter"/>
    <w:link w:val="Piedepgina"/>
    <w:rsid w:val="00001FFB"/>
  </w:style>
  <w:style w:type="paragraph" w:styleId="NormalWeb">
    <w:name w:val="Normal (Web)"/>
    <w:basedOn w:val="Normal"/>
    <w:uiPriority w:val="99"/>
    <w:unhideWhenUsed/>
    <w:rsid w:val="008A5445"/>
    <w:pPr>
      <w:spacing w:before="100" w:beforeAutospacing="1" w:after="100" w:afterAutospacing="1"/>
    </w:pPr>
    <w:rPr>
      <w:rFonts w:ascii="Times New Roman" w:eastAsia="Times New Roman" w:hAnsi="Times New Roman" w:cs="Times New Roman"/>
    </w:rPr>
  </w:style>
  <w:style w:type="character" w:customStyle="1" w:styleId="Ttulo1Car">
    <w:name w:val="Título 1 Car"/>
    <w:basedOn w:val="Fuentedeprrafopredeter"/>
    <w:link w:val="Ttulo1"/>
    <w:uiPriority w:val="9"/>
    <w:rsid w:val="0042476E"/>
    <w:rPr>
      <w:rFonts w:ascii="Bitter" w:eastAsiaTheme="majorEastAsia" w:hAnsi="Bitter" w:cstheme="majorBidi"/>
      <w:b/>
      <w:bCs/>
      <w:iCs/>
      <w:color w:val="265E65" w:themeColor="accent2" w:themeShade="7F"/>
      <w:shd w:val="clear" w:color="auto" w:fill="DDF0F2" w:themeFill="accent2" w:themeFillTint="33"/>
    </w:rPr>
  </w:style>
  <w:style w:type="character" w:customStyle="1" w:styleId="Ttulo2Car">
    <w:name w:val="Título 2 Car"/>
    <w:basedOn w:val="Fuentedeprrafopredeter"/>
    <w:link w:val="Ttulo2"/>
    <w:uiPriority w:val="9"/>
    <w:rsid w:val="00C77A37"/>
    <w:rPr>
      <w:rFonts w:ascii="Bitter" w:eastAsiaTheme="majorEastAsia" w:hAnsi="Bitter" w:cstheme="majorBidi"/>
      <w:b/>
      <w:bCs/>
      <w:iCs/>
      <w:color w:val="00A297"/>
    </w:rPr>
  </w:style>
  <w:style w:type="character" w:customStyle="1" w:styleId="Ttulo3Car">
    <w:name w:val="Título 3 Car"/>
    <w:basedOn w:val="Fuentedeprrafopredeter"/>
    <w:link w:val="Ttulo3"/>
    <w:uiPriority w:val="9"/>
    <w:rsid w:val="0042476E"/>
    <w:rPr>
      <w:rFonts w:ascii="Bitter" w:eastAsiaTheme="majorEastAsia" w:hAnsi="Bitter" w:cstheme="majorBidi"/>
      <w:b/>
      <w:bCs/>
      <w:iCs/>
      <w:color w:val="398E98" w:themeColor="accent2" w:themeShade="BF"/>
    </w:rPr>
  </w:style>
  <w:style w:type="character" w:customStyle="1" w:styleId="Ttulo4Car">
    <w:name w:val="Título 4 Car"/>
    <w:basedOn w:val="Fuentedeprrafopredeter"/>
    <w:link w:val="Ttulo4"/>
    <w:uiPriority w:val="9"/>
    <w:rsid w:val="00DF705C"/>
    <w:rPr>
      <w:rFonts w:ascii="Bitter" w:eastAsiaTheme="majorEastAsia" w:hAnsi="Bitter" w:cstheme="majorBidi"/>
      <w:b/>
      <w:bCs/>
      <w:iCs/>
      <w:color w:val="00A297"/>
      <w:sz w:val="18"/>
    </w:rPr>
  </w:style>
  <w:style w:type="character" w:customStyle="1" w:styleId="Ttulo5Car">
    <w:name w:val="Título 5 Car"/>
    <w:basedOn w:val="Fuentedeprrafopredeter"/>
    <w:link w:val="Ttulo5"/>
    <w:uiPriority w:val="9"/>
    <w:rsid w:val="00526EAB"/>
    <w:rPr>
      <w:rFonts w:asciiTheme="majorHAnsi" w:eastAsiaTheme="majorEastAsia" w:hAnsiTheme="majorHAnsi" w:cstheme="majorBidi"/>
      <w:b/>
      <w:bCs/>
      <w:i/>
      <w:iCs/>
      <w:color w:val="398E98" w:themeColor="accent2" w:themeShade="BF"/>
    </w:rPr>
  </w:style>
  <w:style w:type="character" w:customStyle="1" w:styleId="Ttulo6Car">
    <w:name w:val="Título 6 Car"/>
    <w:basedOn w:val="Fuentedeprrafopredeter"/>
    <w:link w:val="Ttulo6"/>
    <w:uiPriority w:val="9"/>
    <w:rsid w:val="00526EAB"/>
    <w:rPr>
      <w:rFonts w:asciiTheme="majorHAnsi" w:eastAsiaTheme="majorEastAsia" w:hAnsiTheme="majorHAnsi" w:cstheme="majorBidi"/>
      <w:i/>
      <w:iCs/>
      <w:color w:val="398E98" w:themeColor="accent2" w:themeShade="BF"/>
    </w:rPr>
  </w:style>
  <w:style w:type="character" w:customStyle="1" w:styleId="Ttulo7Car">
    <w:name w:val="Título 7 Car"/>
    <w:basedOn w:val="Fuentedeprrafopredeter"/>
    <w:link w:val="Ttulo7"/>
    <w:uiPriority w:val="9"/>
    <w:rsid w:val="00526EAB"/>
    <w:rPr>
      <w:rFonts w:asciiTheme="majorHAnsi" w:eastAsiaTheme="majorEastAsia" w:hAnsiTheme="majorHAnsi" w:cstheme="majorBidi"/>
      <w:i/>
      <w:iCs/>
      <w:color w:val="398E98" w:themeColor="accent2" w:themeShade="BF"/>
    </w:rPr>
  </w:style>
  <w:style w:type="character" w:customStyle="1" w:styleId="Ttulo8Car">
    <w:name w:val="Título 8 Car"/>
    <w:basedOn w:val="Fuentedeprrafopredeter"/>
    <w:link w:val="Ttulo8"/>
    <w:uiPriority w:val="9"/>
    <w:rsid w:val="00526EAB"/>
    <w:rPr>
      <w:rFonts w:asciiTheme="majorHAnsi" w:eastAsiaTheme="majorEastAsia" w:hAnsiTheme="majorHAnsi" w:cstheme="majorBidi"/>
      <w:i/>
      <w:iCs/>
      <w:color w:val="58B6C0" w:themeColor="accent2"/>
    </w:rPr>
  </w:style>
  <w:style w:type="character" w:customStyle="1" w:styleId="Ttulo9Car">
    <w:name w:val="Título 9 Car"/>
    <w:basedOn w:val="Fuentedeprrafopredeter"/>
    <w:link w:val="Ttulo9"/>
    <w:uiPriority w:val="9"/>
    <w:rsid w:val="00526EAB"/>
    <w:rPr>
      <w:rFonts w:asciiTheme="majorHAnsi" w:eastAsiaTheme="majorEastAsia" w:hAnsiTheme="majorHAnsi" w:cstheme="majorBidi"/>
      <w:i/>
      <w:iCs/>
      <w:color w:val="58B6C0" w:themeColor="accent2"/>
      <w:sz w:val="20"/>
      <w:szCs w:val="20"/>
    </w:rPr>
  </w:style>
  <w:style w:type="character" w:customStyle="1" w:styleId="TtuloCar">
    <w:name w:val="Título Car"/>
    <w:basedOn w:val="Fuentedeprrafopredeter"/>
    <w:link w:val="Ttulo"/>
    <w:uiPriority w:val="10"/>
    <w:rsid w:val="001433A3"/>
    <w:rPr>
      <w:rFonts w:ascii="Bitter" w:eastAsia="Times New Roman" w:hAnsi="Bitter" w:cstheme="minorHAnsi"/>
      <w:b/>
      <w:bCs/>
      <w:color w:val="000000" w:themeColor="text1"/>
      <w:sz w:val="56"/>
      <w:szCs w:val="56"/>
      <w:lang w:val="es-ES_tradnl"/>
    </w:rPr>
  </w:style>
  <w:style w:type="character" w:customStyle="1" w:styleId="SubttuloCar">
    <w:name w:val="Subtítulo Car"/>
    <w:basedOn w:val="Fuentedeprrafopredeter"/>
    <w:link w:val="Subttulo"/>
    <w:uiPriority w:val="11"/>
    <w:rsid w:val="001433A3"/>
    <w:rPr>
      <w:rFonts w:ascii="Bitter" w:eastAsia="Times New Roman" w:hAnsi="Bitter" w:cstheme="minorHAnsi"/>
      <w:b/>
      <w:bCs/>
      <w:color w:val="000000" w:themeColor="text1"/>
      <w:sz w:val="24"/>
      <w:szCs w:val="56"/>
      <w:lang w:val="es-ES_tradnl"/>
    </w:rPr>
  </w:style>
  <w:style w:type="character" w:styleId="Textoennegrita">
    <w:name w:val="Strong"/>
    <w:uiPriority w:val="22"/>
    <w:qFormat/>
    <w:rsid w:val="00526EAB"/>
    <w:rPr>
      <w:b/>
      <w:bCs/>
      <w:spacing w:val="0"/>
    </w:rPr>
  </w:style>
  <w:style w:type="character" w:styleId="nfasis">
    <w:name w:val="Emphasis"/>
    <w:uiPriority w:val="20"/>
    <w:qFormat/>
    <w:rsid w:val="00526EAB"/>
    <w:rPr>
      <w:rFonts w:asciiTheme="majorHAnsi" w:eastAsiaTheme="majorEastAsia" w:hAnsiTheme="majorHAnsi" w:cstheme="majorBidi"/>
      <w:b/>
      <w:bCs/>
      <w:i/>
      <w:iCs/>
      <w:color w:val="58B6C0" w:themeColor="accent2"/>
      <w:bdr w:val="single" w:sz="18" w:space="0" w:color="DDF0F2" w:themeColor="accent2" w:themeTint="33"/>
      <w:shd w:val="clear" w:color="auto" w:fill="DDF0F2" w:themeFill="accent2" w:themeFillTint="33"/>
    </w:rPr>
  </w:style>
  <w:style w:type="paragraph" w:styleId="Sinespaciado">
    <w:name w:val="No Spacing"/>
    <w:basedOn w:val="Normal"/>
    <w:link w:val="SinespaciadoCar"/>
    <w:uiPriority w:val="1"/>
    <w:qFormat/>
    <w:rsid w:val="00526EAB"/>
    <w:pPr>
      <w:spacing w:after="0" w:line="240" w:lineRule="auto"/>
    </w:pPr>
  </w:style>
  <w:style w:type="character" w:customStyle="1" w:styleId="SinespaciadoCar">
    <w:name w:val="Sin espaciado Car"/>
    <w:basedOn w:val="Fuentedeprrafopredeter"/>
    <w:link w:val="Sinespaciado"/>
    <w:uiPriority w:val="1"/>
    <w:rsid w:val="00526EAB"/>
    <w:rPr>
      <w:i/>
      <w:iCs/>
      <w:sz w:val="20"/>
      <w:szCs w:val="20"/>
    </w:rPr>
  </w:style>
  <w:style w:type="paragraph" w:styleId="Prrafodelista">
    <w:name w:val="List Paragraph"/>
    <w:basedOn w:val="Normal"/>
    <w:uiPriority w:val="34"/>
    <w:qFormat/>
    <w:rsid w:val="00526EAB"/>
    <w:pPr>
      <w:ind w:left="720"/>
      <w:contextualSpacing/>
    </w:pPr>
  </w:style>
  <w:style w:type="paragraph" w:styleId="Cita">
    <w:name w:val="Quote"/>
    <w:basedOn w:val="Normal"/>
    <w:next w:val="Normal"/>
    <w:link w:val="CitaCar"/>
    <w:uiPriority w:val="29"/>
    <w:qFormat/>
    <w:rsid w:val="00526EAB"/>
    <w:rPr>
      <w:i/>
      <w:iCs w:val="0"/>
      <w:color w:val="398E98" w:themeColor="accent2" w:themeShade="BF"/>
    </w:rPr>
  </w:style>
  <w:style w:type="character" w:customStyle="1" w:styleId="CitaCar">
    <w:name w:val="Cita Car"/>
    <w:basedOn w:val="Fuentedeprrafopredeter"/>
    <w:link w:val="Cita"/>
    <w:uiPriority w:val="29"/>
    <w:rsid w:val="00526EAB"/>
    <w:rPr>
      <w:color w:val="398E98" w:themeColor="accent2" w:themeShade="BF"/>
      <w:sz w:val="20"/>
      <w:szCs w:val="20"/>
    </w:rPr>
  </w:style>
  <w:style w:type="paragraph" w:styleId="Citadestacada">
    <w:name w:val="Intense Quote"/>
    <w:basedOn w:val="Normal"/>
    <w:next w:val="Normal"/>
    <w:link w:val="CitadestacadaCar"/>
    <w:uiPriority w:val="30"/>
    <w:qFormat/>
    <w:rsid w:val="00526EAB"/>
    <w:pPr>
      <w:pBdr>
        <w:top w:val="dotted" w:sz="8" w:space="10" w:color="58B6C0" w:themeColor="accent2"/>
        <w:bottom w:val="dotted" w:sz="8" w:space="10" w:color="58B6C0" w:themeColor="accent2"/>
      </w:pBdr>
      <w:spacing w:line="300" w:lineRule="auto"/>
      <w:ind w:left="2160" w:right="2160"/>
      <w:jc w:val="center"/>
    </w:pPr>
    <w:rPr>
      <w:rFonts w:asciiTheme="majorHAnsi" w:eastAsiaTheme="majorEastAsia" w:hAnsiTheme="majorHAnsi" w:cstheme="majorBidi"/>
      <w:b/>
      <w:bCs/>
      <w:color w:val="58B6C0" w:themeColor="accent2"/>
    </w:rPr>
  </w:style>
  <w:style w:type="character" w:customStyle="1" w:styleId="CitadestacadaCar">
    <w:name w:val="Cita destacada Car"/>
    <w:basedOn w:val="Fuentedeprrafopredeter"/>
    <w:link w:val="Citadestacada"/>
    <w:uiPriority w:val="30"/>
    <w:rsid w:val="00526EAB"/>
    <w:rPr>
      <w:rFonts w:asciiTheme="majorHAnsi" w:eastAsiaTheme="majorEastAsia" w:hAnsiTheme="majorHAnsi" w:cstheme="majorBidi"/>
      <w:b/>
      <w:bCs/>
      <w:i/>
      <w:iCs/>
      <w:color w:val="58B6C0" w:themeColor="accent2"/>
      <w:sz w:val="20"/>
      <w:szCs w:val="20"/>
    </w:rPr>
  </w:style>
  <w:style w:type="character" w:styleId="nfasissutil">
    <w:name w:val="Subtle Emphasis"/>
    <w:uiPriority w:val="19"/>
    <w:qFormat/>
    <w:rsid w:val="00526EAB"/>
    <w:rPr>
      <w:rFonts w:asciiTheme="majorHAnsi" w:eastAsiaTheme="majorEastAsia" w:hAnsiTheme="majorHAnsi" w:cstheme="majorBidi"/>
      <w:i/>
      <w:iCs/>
      <w:color w:val="58B6C0" w:themeColor="accent2"/>
    </w:rPr>
  </w:style>
  <w:style w:type="character" w:styleId="nfasisintenso">
    <w:name w:val="Intense Emphasis"/>
    <w:uiPriority w:val="21"/>
    <w:qFormat/>
    <w:rsid w:val="00526EAB"/>
    <w:rPr>
      <w:rFonts w:asciiTheme="majorHAnsi" w:eastAsiaTheme="majorEastAsia" w:hAnsiTheme="majorHAnsi" w:cstheme="majorBidi"/>
      <w:b/>
      <w:bCs/>
      <w:i/>
      <w:iCs/>
      <w:dstrike w:val="0"/>
      <w:color w:val="FFFFFF" w:themeColor="background1"/>
      <w:bdr w:val="single" w:sz="18" w:space="0" w:color="58B6C0" w:themeColor="accent2"/>
      <w:shd w:val="clear" w:color="auto" w:fill="58B6C0" w:themeFill="accent2"/>
      <w:vertAlign w:val="baseline"/>
    </w:rPr>
  </w:style>
  <w:style w:type="character" w:styleId="Referenciasutil">
    <w:name w:val="Subtle Reference"/>
    <w:uiPriority w:val="31"/>
    <w:qFormat/>
    <w:rsid w:val="00526EAB"/>
    <w:rPr>
      <w:i/>
      <w:iCs/>
      <w:smallCaps/>
      <w:color w:val="58B6C0" w:themeColor="accent2"/>
      <w:u w:color="58B6C0" w:themeColor="accent2"/>
    </w:rPr>
  </w:style>
  <w:style w:type="character" w:styleId="Referenciaintensa">
    <w:name w:val="Intense Reference"/>
    <w:uiPriority w:val="32"/>
    <w:qFormat/>
    <w:rsid w:val="00526EAB"/>
    <w:rPr>
      <w:b/>
      <w:bCs/>
      <w:i/>
      <w:iCs/>
      <w:smallCaps/>
      <w:color w:val="58B6C0" w:themeColor="accent2"/>
      <w:u w:color="58B6C0" w:themeColor="accent2"/>
    </w:rPr>
  </w:style>
  <w:style w:type="character" w:styleId="Ttulodellibro">
    <w:name w:val="Book Title"/>
    <w:uiPriority w:val="33"/>
    <w:qFormat/>
    <w:rsid w:val="00526EAB"/>
    <w:rPr>
      <w:rFonts w:asciiTheme="majorHAnsi" w:eastAsiaTheme="majorEastAsia" w:hAnsiTheme="majorHAnsi" w:cstheme="majorBidi"/>
      <w:b/>
      <w:bCs/>
      <w:i/>
      <w:iCs/>
      <w:smallCaps/>
      <w:color w:val="398E98" w:themeColor="accent2" w:themeShade="BF"/>
      <w:u w:val="single"/>
    </w:rPr>
  </w:style>
  <w:style w:type="character" w:customStyle="1" w:styleId="TextoindependienteCar">
    <w:name w:val="Texto independiente Car"/>
    <w:basedOn w:val="Fuentedeprrafopredeter"/>
    <w:link w:val="Textoindependiente"/>
    <w:rsid w:val="00DC3CC1"/>
    <w:rPr>
      <w:iCs/>
      <w:sz w:val="20"/>
      <w:szCs w:val="20"/>
    </w:rPr>
  </w:style>
  <w:style w:type="character" w:customStyle="1" w:styleId="FechaCar">
    <w:name w:val="Fecha Car"/>
    <w:basedOn w:val="Fuentedeprrafopredeter"/>
    <w:link w:val="Fecha"/>
    <w:rsid w:val="005C4F3D"/>
  </w:style>
  <w:style w:type="character" w:styleId="Refdecomentario">
    <w:name w:val="annotation reference"/>
    <w:basedOn w:val="Fuentedeprrafopredeter"/>
    <w:semiHidden/>
    <w:unhideWhenUsed/>
    <w:rsid w:val="006F341B"/>
    <w:rPr>
      <w:sz w:val="16"/>
      <w:szCs w:val="16"/>
    </w:rPr>
  </w:style>
  <w:style w:type="paragraph" w:styleId="Textocomentario">
    <w:name w:val="annotation text"/>
    <w:basedOn w:val="Normal"/>
    <w:link w:val="TextocomentarioCar"/>
    <w:semiHidden/>
    <w:unhideWhenUsed/>
    <w:rsid w:val="006F341B"/>
    <w:pPr>
      <w:spacing w:line="240" w:lineRule="auto"/>
    </w:pPr>
    <w:rPr>
      <w:sz w:val="20"/>
    </w:rPr>
  </w:style>
  <w:style w:type="character" w:customStyle="1" w:styleId="TextocomentarioCar">
    <w:name w:val="Texto comentario Car"/>
    <w:basedOn w:val="Fuentedeprrafopredeter"/>
    <w:link w:val="Textocomentario"/>
    <w:semiHidden/>
    <w:rsid w:val="006F341B"/>
    <w:rPr>
      <w:rFonts w:ascii="Bitter" w:hAnsi="Bitter"/>
      <w:iCs/>
      <w:sz w:val="20"/>
      <w:szCs w:val="20"/>
    </w:rPr>
  </w:style>
  <w:style w:type="paragraph" w:styleId="Asuntodelcomentario">
    <w:name w:val="annotation subject"/>
    <w:basedOn w:val="Textocomentario"/>
    <w:next w:val="Textocomentario"/>
    <w:link w:val="AsuntodelcomentarioCar"/>
    <w:semiHidden/>
    <w:unhideWhenUsed/>
    <w:rsid w:val="006F341B"/>
    <w:rPr>
      <w:b/>
      <w:bCs/>
    </w:rPr>
  </w:style>
  <w:style w:type="character" w:customStyle="1" w:styleId="AsuntodelcomentarioCar">
    <w:name w:val="Asunto del comentario Car"/>
    <w:basedOn w:val="TextocomentarioCar"/>
    <w:link w:val="Asuntodelcomentario"/>
    <w:semiHidden/>
    <w:rsid w:val="006F341B"/>
    <w:rPr>
      <w:rFonts w:ascii="Bitter" w:hAnsi="Bitter"/>
      <w:b/>
      <w:bCs/>
      <w:iCs/>
      <w:sz w:val="20"/>
      <w:szCs w:val="20"/>
    </w:rPr>
  </w:style>
  <w:style w:type="paragraph" w:styleId="Textodeglobo">
    <w:name w:val="Balloon Text"/>
    <w:basedOn w:val="Normal"/>
    <w:link w:val="TextodegloboCar"/>
    <w:semiHidden/>
    <w:unhideWhenUsed/>
    <w:rsid w:val="006F341B"/>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semiHidden/>
    <w:rsid w:val="006F341B"/>
    <w:rPr>
      <w:rFonts w:ascii="Segoe UI" w:hAnsi="Segoe UI" w:cs="Segoe U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4369365">
      <w:bodyDiv w:val="1"/>
      <w:marLeft w:val="0"/>
      <w:marRight w:val="0"/>
      <w:marTop w:val="0"/>
      <w:marBottom w:val="0"/>
      <w:divBdr>
        <w:top w:val="none" w:sz="0" w:space="0" w:color="auto"/>
        <w:left w:val="none" w:sz="0" w:space="0" w:color="auto"/>
        <w:bottom w:val="none" w:sz="0" w:space="0" w:color="auto"/>
        <w:right w:val="none" w:sz="0" w:space="0" w:color="auto"/>
      </w:divBdr>
      <w:divsChild>
        <w:div w:id="311176831">
          <w:marLeft w:val="0"/>
          <w:marRight w:val="0"/>
          <w:marTop w:val="0"/>
          <w:marBottom w:val="0"/>
          <w:divBdr>
            <w:top w:val="none" w:sz="0" w:space="0" w:color="auto"/>
            <w:left w:val="none" w:sz="0" w:space="0" w:color="auto"/>
            <w:bottom w:val="none" w:sz="0" w:space="0" w:color="auto"/>
            <w:right w:val="none" w:sz="0" w:space="0" w:color="auto"/>
          </w:divBdr>
          <w:divsChild>
            <w:div w:id="690255554">
              <w:marLeft w:val="0"/>
              <w:marRight w:val="0"/>
              <w:marTop w:val="0"/>
              <w:marBottom w:val="0"/>
              <w:divBdr>
                <w:top w:val="none" w:sz="0" w:space="0" w:color="auto"/>
                <w:left w:val="none" w:sz="0" w:space="0" w:color="auto"/>
                <w:bottom w:val="none" w:sz="0" w:space="0" w:color="auto"/>
                <w:right w:val="none" w:sz="0" w:space="0" w:color="auto"/>
              </w:divBdr>
              <w:divsChild>
                <w:div w:id="1039621638">
                  <w:marLeft w:val="0"/>
                  <w:marRight w:val="0"/>
                  <w:marTop w:val="0"/>
                  <w:marBottom w:val="0"/>
                  <w:divBdr>
                    <w:top w:val="none" w:sz="0" w:space="0" w:color="auto"/>
                    <w:left w:val="none" w:sz="0" w:space="0" w:color="auto"/>
                    <w:bottom w:val="none" w:sz="0" w:space="0" w:color="auto"/>
                    <w:right w:val="none" w:sz="0" w:space="0" w:color="auto"/>
                  </w:divBdr>
                  <w:divsChild>
                    <w:div w:id="1519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095858">
      <w:bodyDiv w:val="1"/>
      <w:marLeft w:val="0"/>
      <w:marRight w:val="0"/>
      <w:marTop w:val="0"/>
      <w:marBottom w:val="0"/>
      <w:divBdr>
        <w:top w:val="none" w:sz="0" w:space="0" w:color="auto"/>
        <w:left w:val="none" w:sz="0" w:space="0" w:color="auto"/>
        <w:bottom w:val="none" w:sz="0" w:space="0" w:color="auto"/>
        <w:right w:val="none" w:sz="0" w:space="0" w:color="auto"/>
      </w:divBdr>
      <w:divsChild>
        <w:div w:id="63570830">
          <w:marLeft w:val="0"/>
          <w:marRight w:val="0"/>
          <w:marTop w:val="0"/>
          <w:marBottom w:val="0"/>
          <w:divBdr>
            <w:top w:val="none" w:sz="0" w:space="0" w:color="auto"/>
            <w:left w:val="none" w:sz="0" w:space="0" w:color="auto"/>
            <w:bottom w:val="none" w:sz="0" w:space="0" w:color="auto"/>
            <w:right w:val="none" w:sz="0" w:space="0" w:color="auto"/>
          </w:divBdr>
          <w:divsChild>
            <w:div w:id="934050528">
              <w:marLeft w:val="0"/>
              <w:marRight w:val="0"/>
              <w:marTop w:val="0"/>
              <w:marBottom w:val="0"/>
              <w:divBdr>
                <w:top w:val="none" w:sz="0" w:space="0" w:color="auto"/>
                <w:left w:val="none" w:sz="0" w:space="0" w:color="auto"/>
                <w:bottom w:val="none" w:sz="0" w:space="0" w:color="auto"/>
                <w:right w:val="none" w:sz="0" w:space="0" w:color="auto"/>
              </w:divBdr>
              <w:divsChild>
                <w:div w:id="1339040828">
                  <w:marLeft w:val="0"/>
                  <w:marRight w:val="0"/>
                  <w:marTop w:val="0"/>
                  <w:marBottom w:val="0"/>
                  <w:divBdr>
                    <w:top w:val="none" w:sz="0" w:space="0" w:color="auto"/>
                    <w:left w:val="none" w:sz="0" w:space="0" w:color="auto"/>
                    <w:bottom w:val="none" w:sz="0" w:space="0" w:color="auto"/>
                    <w:right w:val="none" w:sz="0" w:space="0" w:color="auto"/>
                  </w:divBdr>
                  <w:divsChild>
                    <w:div w:id="21393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pr.uai.cl/boletin-laboral/" TargetMode="External"/><Relationship Id="rId13" Type="http://schemas.openxmlformats.org/officeDocument/2006/relationships/image" Target="media/image6.png"/><Relationship Id="rId18" Type="http://schemas.openxmlformats.org/officeDocument/2006/relationships/hyperlink" Target="http://cepr.uai.c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epr.uai.cl/boletin-labora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mailto:" TargetMode="External"/><Relationship Id="rId2" Type="http://schemas.openxmlformats.org/officeDocument/2006/relationships/hyperlink" Target="http://cepr.uai.cl/" TargetMode="External"/><Relationship Id="rId1" Type="http://schemas.openxmlformats.org/officeDocument/2006/relationships/image" Target="media/image11.png"/><Relationship Id="rId5" Type="http://schemas.openxmlformats.org/officeDocument/2006/relationships/image" Target="media/image12.emf"/><Relationship Id="rId4" Type="http://schemas.openxmlformats.org/officeDocument/2006/relationships/hyperlink" Target="http://www.twitter.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ine.cl/docs/default-source/ocupacion-y-desocupacion/publicaciones-y-anuarios/separatas/tem&#225;ticas/separata-t&#233;cnica-fortalecimiento-ene-febrero-202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Depth">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Depth">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docProps/app.xml><?xml version="1.0" encoding="utf-8"?>
<Properties xmlns="http://schemas.openxmlformats.org/officeDocument/2006/extended-properties" xmlns:vt="http://schemas.openxmlformats.org/officeDocument/2006/docPropsVTypes">
  <Template>Normal</Template>
  <TotalTime>18</TotalTime>
  <Pages>1</Pages>
  <Words>2866</Words>
  <Characters>15766</Characters>
  <Application>Microsoft Office Word</Application>
  <DocSecurity>0</DocSecurity>
  <Lines>131</Lines>
  <Paragraphs>37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Boletín Laboral CEPR</vt:lpstr>
      <vt:lpstr>Boletín Laboral CEPR</vt:lpstr>
    </vt:vector>
  </TitlesOfParts>
  <Company/>
  <LinksUpToDate>false</LinksUpToDate>
  <CharactersWithSpaces>18595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Boletín Laboral CEPR</dc:title>
  <dc:creator>Región Metropolitana MJJ-2020</dc:creator>
  <cp:keywords/>
  <cp:lastModifiedBy>MARTIN SIELFELD O'RYAN</cp:lastModifiedBy>
  <cp:revision>10</cp:revision>
  <dcterms:created xsi:type="dcterms:W3CDTF">2020-09-01T04:11:00Z</dcterms:created>
  <dcterms:modified xsi:type="dcterms:W3CDTF">2021-10-06T04:21:00Z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28/08/2020</vt:lpwstr>
  </property>
  <property fmtid="{D5CDD505-2E9C-101B-9397-08002B2CF9AE}" pid="3" name="output">
    <vt:lpwstr/>
  </property>
  <property fmtid="{D5CDD505-2E9C-101B-9397-08002B2CF9AE}" pid="4" name="params">
    <vt:lpwstr/>
  </property>
</Properties>
</file>