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8"/>
          <w:sz w:val="60"/>
        </w:rPr>
        <w:t>VELTIS</w:t>
      </w:r>
    </w:p>
    <w:p>
      <w:pPr>
        <w:jc w:val="center"/>
      </w:pPr>
      <w:r>
        <w:rPr>
          <w:b/>
          <w:color w:val="18354A"/>
          <w:sz w:val="42"/>
        </w:rPr>
        <w:t>BASES E FONTES DE DADOS</w:t>
      </w:r>
    </w:p>
    <w:p>
      <w:pPr>
        <w:jc w:val="center"/>
      </w:pPr>
      <w:r>
        <w:rPr>
          <w:color w:val="505050"/>
          <w:sz w:val="22"/>
        </w:rPr>
        <w:t>Guia reproduzível de obtenção, validação, integração e rastreabilidade das bases do projeto</w:t>
      </w:r>
    </w:p>
    <w:p>
      <w:pPr>
        <w:spacing w:before="360"/>
        <w:jc w:val="center"/>
      </w:pPr>
      <w:r>
        <w:rPr>
          <w:color w:val="646464"/>
          <w:sz w:val="18"/>
        </w:rPr>
        <w:t>Região Metropolitana de Sorocaba • PostgreSQL/PostGIS • Python/GeoPandas</w:t>
      </w:r>
    </w:p>
    <w:p>
      <w:pPr>
        <w:spacing w:before="500"/>
        <w:jc w:val="center"/>
      </w:pPr>
      <w:r>
        <w:rPr>
          <w:b/>
          <w:sz w:val="20"/>
        </w:rPr>
        <w:t>Revisão consolidada em 24/09/2026</w:t>
      </w:r>
    </w:p>
    <w:p>
      <w:r>
        <w:br w:type="page"/>
      </w:r>
    </w:p>
    <w:p>
      <w:pPr>
        <w:pStyle w:val="Heading1"/>
      </w:pPr>
      <w:r>
        <w:t>1. Finalidade e escopo desta revisão</w:t>
      </w:r>
    </w:p>
    <w:p>
      <w:r>
        <w:t>Este documento consolida as fontes de dados do Veltis e separa explicitamente o que já foi implementado, o que foi validado em arquivos locais e o que permanece como proposta de arquitetura ou etapa futura. A revisão incorpora as verificações realizadas sobre os arquivos fornecidos pela equipe e a conferência das páginas oficiais dos órgãos responsáveis.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Regra de evidência: </w:t>
            </w:r>
            <w:r>
              <w:t>Fato oficial = confirmado em página/documentação do órgão. Validação local = confirmado nos arquivos fornecidos pela equipe. Proposta = desenho recomendado ainda não implementado.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Escopo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Implementado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PostgreSQL/PostGIS inicial; conexão Python via SQLAlchemy/Psycopg; leitura, filtro, validação e carga da Malha Municipal para os 27 municípios.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Validado para integração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Censo Escolar 2025; Catálogo de Escolas INEP; base de endereços SEDUC-SP; Censo Superior 2024; regras de integração e limitações descritas neste documento.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 andamento / planejado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ETLs demográfico, escolas, cursos técnicos, IES/cursos; tabelas de rastreabilidade e localização; API, frontend, mapa, filtros, indicadores e dashboards.</w:t>
            </w:r>
          </w:p>
        </w:tc>
      </w:tr>
    </w:tbl>
    <w:p>
      <w:pPr>
        <w:spacing w:after="0"/>
      </w:pPr>
    </w:p>
    <w:p>
      <w:pPr>
        <w:pStyle w:val="Heading1"/>
      </w:pPr>
      <w:r>
        <w:t>2. Recorte territorial da RMS</w:t>
      </w:r>
    </w:p>
    <w:p>
      <w:r>
        <w:t>A Região Metropolitana de Sorocaba foi criada pela Lei Complementar estadual nº 1.241/2014. O texto original listava 26 municípios. A Lei Complementar nº 1.289/2016 integrou Itapetininga, totalizando os 27 municípios usados pelo Veltis. O código IBGE de 7 dígitos é a chave territorial comum entre as bases.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Código IBGE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Município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3500758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Alambari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3501152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Alumínio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3502754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Araçariguama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3502903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Araçoiaba da Serra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3507001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Boituva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3510302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Capela do Alto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3511508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Cerquilho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3511607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Cesário Lange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3519709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Ibiúna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3521002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Iperó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3522307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Itapetininga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3523909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Itu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3525854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Jumirim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3528403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Mairinque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3537800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Piedade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3537909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Pilar do Sul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3540606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Porto Feliz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3545209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Salto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3545308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Salto de Pirapora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3550209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São Miguel Arcanjo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3550605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São Roque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3551108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Sarapuí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3552205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Sorocaba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3553500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Tapiraí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3554003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Tatuí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3554508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Tietê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3557006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Votorantim</w:t>
            </w:r>
          </w:p>
        </w:tc>
      </w:tr>
    </w:tbl>
    <w:p>
      <w:pPr>
        <w:spacing w:after="0"/>
      </w:pPr>
    </w:p>
    <w:p>
      <w:pPr>
        <w:pStyle w:val="Heading1"/>
      </w:pPr>
      <w:r>
        <w:t>3. Visão geral das fontes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Fornece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 — Malha Municipal 2025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Geometria e atributos territoriais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Shapefile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ibge_municipios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Implementada/carregada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 — SIDRA / API v3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Indicadores demográficos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API REST/JSON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ibge_demografico + classificações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em revisão; carga pendente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 — Censo Escolar 2025 V2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Escolas e oferta de Ensino Médio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CSV/ZIP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inep_escola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Integração pendente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 — Censo Escolar 2025 V2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Cursos técnicos por escola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CSV/ZIP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inep_curso_tecnico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Integração pendente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 — Catálogo de Escolas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Endereço, telefone e coordenadas quando disponíveis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Exportação CSV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escola_localizacao (proposta)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Fonte complementar validada localmente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SEDUC-SP — Escolas Ativas 2025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Endereço e coordenadas da rede estadual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CSV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escola_localizacao (proposta)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Fonte complementar secundária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 — Censo da Educação Superior 2024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IES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CSV/ZIP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mec_ies (nome atual)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Integração pendente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INEP — Censo da Educação Superior 2024</w:t>
            </w:r>
          </w:p>
        </w:tc>
        <w:tc>
          <w:tcPr>
            <w:tcW w:type="dxa" w:w="2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Cursos e local de oferta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CSV/ZIP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mec_cursos (nome atual)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Integração pendente</w:t>
            </w:r>
          </w:p>
        </w:tc>
      </w:tr>
    </w:tbl>
    <w:p>
      <w:pPr>
        <w:spacing w:after="0"/>
      </w:pPr>
    </w:p>
    <w:p>
      <w:pPr>
        <w:pStyle w:val="Heading1"/>
      </w:pPr>
      <w:r>
        <w:t>4. IBGE — Malha Municipal 2025</w:t>
      </w:r>
    </w:p>
    <w:p>
      <w:r>
        <w:t>A Malha Municipal é a fonte territorial do mapa e fornece o contorno geográfico e identificadores oficiais dos municípios. O IBGE informa que a edição 2025 representa a divisão político-administrativa vigente, é distribuída em Shapefile e utiliza SIRGAS 2000 em coordenadas geográficas.</w:t>
      </w:r>
    </w:p>
    <w:p>
      <w:pPr>
        <w:pStyle w:val="ListBullet"/>
        <w:spacing w:after="20"/>
      </w:pPr>
      <w:r>
        <w:t>Validação local já concluída: 645 registros no arquivo de municípios de São Paulo; 27 registros após o filtro pelos códigos da RMS.</w:t>
      </w:r>
    </w:p>
    <w:p>
      <w:pPr>
        <w:pStyle w:val="ListBullet"/>
        <w:spacing w:after="20"/>
      </w:pPr>
      <w:r>
        <w:t>CRS observado no arquivo utilizado: EPSG:4674 (SIRGAS 2000).</w:t>
      </w:r>
    </w:p>
    <w:p>
      <w:pPr>
        <w:pStyle w:val="ListBullet"/>
        <w:spacing w:after="20"/>
      </w:pPr>
      <w:r>
        <w:t>Foram verificadas quantidade, códigos, nulos, CRS, geometrias vazias e validade geométrica antes da carga.</w:t>
      </w:r>
    </w:p>
    <w:p>
      <w:pPr>
        <w:pStyle w:val="ListBullet"/>
        <w:spacing w:after="20"/>
      </w:pPr>
      <w:r>
        <w:t>Esta é a etapa territorial já carregada com sucesso no PostgreSQL/PostGIS.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Fonte oficial: </w:t>
            </w:r>
            <w:r>
              <w:t>https://www.ibge.gov.br/geociencias/organizacao-do-territorio/estrutura-territorial/15774-malhas</w:t>
            </w:r>
          </w:p>
        </w:tc>
      </w:tr>
    </w:tbl>
    <w:p>
      <w:pPr>
        <w:spacing w:after="0"/>
      </w:pPr>
    </w:p>
    <w:p>
      <w:pPr>
        <w:pStyle w:val="Heading1"/>
      </w:pPr>
      <w:r>
        <w:t>5. IBGE — SIDRA / API de Dados Agregados</w:t>
      </w:r>
    </w:p>
    <w:p>
      <w:r>
        <w:t>O SIDRA não deve ser tratado como uma base única de indicadores. Cada valor é determinado pelo agregado/tabela, variável, período, território e, quando aplicável, pelas classificações e categorias selecionadas. A API oficial expõe esses elementos como partes da consulta e da resposta.</w:t>
      </w:r>
    </w:p>
    <w:p>
      <w:pPr>
        <w:pStyle w:val="Heading2"/>
      </w:pPr>
      <w:r>
        <w:t>5.1 Regra de ingestão revisada</w:t>
      </w:r>
    </w:p>
    <w:p>
      <w:pPr>
        <w:pStyle w:val="ListBullet"/>
        <w:spacing w:after="20"/>
      </w:pPr>
      <w:r>
        <w:t>Definir o indicador antes da consulta e registrar o código do agregado/tabela.</w:t>
      </w:r>
    </w:p>
    <w:p>
      <w:pPr>
        <w:pStyle w:val="ListBullet"/>
        <w:spacing w:after="20"/>
      </w:pPr>
      <w:r>
        <w:t>Preservar o código e o nome da variável, a unidade de medida e o período retornado.</w:t>
      </w:r>
    </w:p>
    <w:p>
      <w:pPr>
        <w:pStyle w:val="ListBullet"/>
        <w:spacing w:after="20"/>
      </w:pPr>
      <w:r>
        <w:t>Preservar classificações e categorias quando a tabela for segmentada (por exemplo, sexo e idade).</w:t>
      </w:r>
    </w:p>
    <w:p>
      <w:pPr>
        <w:pStyle w:val="ListBullet"/>
        <w:spacing w:after="20"/>
      </w:pPr>
      <w:r>
        <w:t>Não usar uma UNIQUE baseada somente em município + período + agregado + variável, pois categorias diferentes podem produzir valores distintos com esses quatro elementos iguais.</w:t>
      </w:r>
    </w:p>
    <w:p>
      <w:pPr>
        <w:pStyle w:val="ListBullet"/>
        <w:spacing w:after="20"/>
      </w:pPr>
      <w:r>
        <w:t>No modelo revisado, as classificações ficam em estrutura filha ligada ao registro demográfico.</w:t>
      </w:r>
    </w:p>
    <w:p>
      <w:pPr>
        <w:pStyle w:val="Heading2"/>
      </w:pPr>
      <w:r>
        <w:t>5.2 Exemplos de agregados</w:t>
      </w:r>
    </w:p>
    <w:p>
      <w:r>
        <w:t>A documentação anterior cita, como exemplos a confirmar no ETL de cada indicador, a tabela 4709 e a tabela 9514. A seleção final de variável, classificação, categoria e período deve ser registrada junto à rotina de ingestão.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API oficial: </w:t>
            </w:r>
            <w:r>
              <w:t>https://servicodados.ibge.gov.br/api/docs/agregados?versao=3</w:t>
            </w:r>
          </w:p>
        </w:tc>
      </w:tr>
    </w:tbl>
    <w:p>
      <w:pPr>
        <w:spacing w:after="0"/>
      </w:pPr>
    </w:p>
    <w:p>
      <w:pPr>
        <w:pStyle w:val="Heading1"/>
      </w:pPr>
      <w:r>
        <w:t>6. INEP — Censo Escolar 2025</w:t>
      </w:r>
    </w:p>
    <w:p>
      <w:r>
        <w:t>O arquivo Tabela_Escola_2025_V2.csv continua sendo a fonte mestre para definir o universo de escolas da educação básica no Veltis. O arquivo operacional analisado possui 290 colunas e não contém os campos de endereço, bairro, CEP, telefone, latitude ou longitude citados em versões genéricas/anteriores de documentação.</w:t>
      </w:r>
    </w:p>
    <w:p>
      <w:pPr>
        <w:pStyle w:val="ListBullet"/>
        <w:spacing w:after="20"/>
      </w:pPr>
      <w:r>
        <w:t>Filtro territorial: CO_MUNICIPIO nos 27 códigos da RMS.</w:t>
      </w:r>
    </w:p>
    <w:p>
      <w:pPr>
        <w:pStyle w:val="ListBullet"/>
        <w:spacing w:after="20"/>
      </w:pPr>
      <w:r>
        <w:t>Chave histórica da escola: NU_ANO_CENSO + CO_ENTIDADE.</w:t>
      </w:r>
    </w:p>
    <w:p>
      <w:pPr>
        <w:pStyle w:val="ListBullet"/>
        <w:spacing w:after="20"/>
      </w:pPr>
      <w:r>
        <w:t>Oferta de Ensino Médio: usar apenas os indicadores selecionados e documentados no ETL.</w:t>
      </w:r>
    </w:p>
    <w:p>
      <w:pPr>
        <w:pStyle w:val="ListBullet"/>
        <w:spacing w:after="20"/>
      </w:pPr>
      <w:r>
        <w:t>Curso técnico: relacionar por NU_ANO_CENSO + CO_ENTIDADE; uma escola pode ter vários cursos.</w:t>
      </w:r>
    </w:p>
    <w:p>
      <w:pPr>
        <w:pStyle w:val="ListBullet"/>
        <w:spacing w:after="20"/>
      </w:pPr>
      <w:r>
        <w:t>Não importar registros do Catálogo de Escolas como novas escolas da educação básica: o Censo Escolar permanece como universo mestre.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Fonte oficial: </w:t>
            </w:r>
            <w:r>
              <w:t>https://www.gov.br/inep/pt-br/acesso-a-informacao/dados-abertos/microdados/censo-escolar</w:t>
            </w:r>
          </w:p>
        </w:tc>
      </w:tr>
    </w:tbl>
    <w:p>
      <w:pPr>
        <w:spacing w:after="0"/>
      </w:pPr>
    </w:p>
    <w:p>
      <w:pPr>
        <w:pStyle w:val="Heading1"/>
      </w:pPr>
      <w:r>
        <w:t>7. Localização das escolas — Catálogo de Escolas INEP</w:t>
      </w:r>
    </w:p>
    <w:p>
      <w:r>
        <w:t>O Catálogo de Escolas do INEP é adotado nesta revisão como fonte complementar principal de localização, porque reúne endereço, telefone e informações cadastrais e permite exportação. Na exportação fornecida pela equipe, também existem as colunas Latitude e Longitude.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Métrica da validação local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Escolas do Censo Escolar 2025 na RMS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1.806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Registros do Catálogo localizados nos 27 municípios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1.783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Correspondências por Código INEP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1.776 (98,3% das escolas do Censo da RMS)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Escolas do Censo sem correspondência no Catálogo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Registros do Catálogo na RMS sem correspondência no Censo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Registros do Catálogo RMS com endereço preenchido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1.783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Registros do Catálogo RMS com latitude e longitude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1.580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Correspondências do Censo com coordenadas no Catálogo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1.575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Regra de integração: </w:t>
            </w:r>
            <w:r>
              <w:t>CO_ENTIDADE do Censo Escolar = Código INEP do Catálogo. O Catálogo enriquece escolas já selecionadas pelo Censo; não redefine o universo educacional.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Fonte oficial: </w:t>
            </w:r>
            <w:r>
              <w:t>https://www.gov.br/inep/pt-br/acesso-a-informacao/dados-abertos/inep-data/catalogo-de-escolas/</w:t>
            </w:r>
          </w:p>
        </w:tc>
      </w:tr>
    </w:tbl>
    <w:p>
      <w:pPr>
        <w:spacing w:after="0"/>
      </w:pPr>
    </w:p>
    <w:p>
      <w:pPr>
        <w:pStyle w:val="Heading1"/>
      </w:pPr>
      <w:r>
        <w:t>8. Localização das escolas — SEDUC-SP</w:t>
      </w:r>
    </w:p>
    <w:p>
      <w:r>
        <w:t>A base “Escolas Ativas” da Secretaria da Educação do Estado de São Paulo é uma fonte complementar secundária. Embora a descrição geral do conjunto mencione redes municipal, estadual e federal, o recurso de 2025 analisado pela equipe é descrito especificamente como endereço e coordenadas de todas as escolas da rede estadual.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Métrica da validação local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Registros da base SEDUC-SP nos 27 municípios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270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Dependência observada no arquivo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270 registros “ESTADUAL - SE”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Correspondências com o Censo Escolar RMS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269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Escolas que ganham coordenada além do Catálogo INEP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 (3 sem coordenada no Catálogo + 1 ausente do Catálogo)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Cobertura total direta por Catálogo INEP + SEDUC-SP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1.579 de 1.806 escolas do Censo (87,4%)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Ainda sem coordenadas após as duas fontes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227 escolas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Regra: </w:t>
            </w:r>
            <w:r>
              <w:t>Manter coordenadas ausentes como NULL. Qualquer geocodificação futura deve ser registrada como dado derivado pelo Veltis, com método e fonte do endereço.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Fonte oficial: </w:t>
            </w:r>
            <w:r>
              <w:t>https://dados.educacao.sp.gov.br/dataset/escolas-ativas</w:t>
            </w:r>
          </w:p>
        </w:tc>
      </w:tr>
    </w:tbl>
    <w:p>
      <w:pPr>
        <w:spacing w:after="0"/>
      </w:pPr>
    </w:p>
    <w:p>
      <w:pPr>
        <w:pStyle w:val="Heading1"/>
      </w:pPr>
      <w:r>
        <w:t>9. INEP — Censo da Educação Superior 2024</w:t>
      </w:r>
    </w:p>
    <w:p>
      <w:r>
        <w:t>O Censo da Educação Superior 2024 é a fonte operacional para IES e cursos superiores. A distinção territorial central é: município da sede da IES não é sinônimo de município/local de oferta do curso.</w:t>
      </w:r>
    </w:p>
    <w:p>
      <w:pPr>
        <w:pStyle w:val="ListBullet"/>
        <w:spacing w:after="20"/>
      </w:pPr>
      <w:r>
        <w:t>Uma IES com sede fora da RMS pode ofertar curso dentro da RMS; por isso, o arquivo de IES não deve ser filtrado apenas por CO_MUNICIPIO_IES antes de identificar os CO_IES presentes nas ofertas selecionadas.</w:t>
      </w:r>
    </w:p>
    <w:p>
      <w:pPr>
        <w:pStyle w:val="ListBullet"/>
        <w:spacing w:after="20"/>
      </w:pPr>
      <w:r>
        <w:t>Nos cursos, CO_MUNICIPIO representa o local de oferta quando disponível.</w:t>
      </w:r>
    </w:p>
    <w:p>
      <w:pPr>
        <w:pStyle w:val="ListBullet"/>
        <w:spacing w:after="20"/>
      </w:pPr>
      <w:r>
        <w:t>Registros EAD podem não possuir município; nesses casos o Veltis deve manter o município como NULL e não inferir localização.</w:t>
      </w:r>
    </w:p>
    <w:p>
      <w:pPr>
        <w:pStyle w:val="ListBullet"/>
        <w:spacing w:after="20"/>
      </w:pPr>
      <w:r>
        <w:t>As tabelas atualmente chamadas MEC_IES e MEC_CURSOS podem ser renomeadas futuramente para refletir a fonte INEP; isso permanece sugestão, não alteração implementada.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Fonte oficial: </w:t>
            </w:r>
            <w:r>
              <w:t>https://www.gov.br/inep/pt-br/acesso-a-informacao/dados-abertos/microdados/censo-da-educacao-superior</w:t>
            </w:r>
          </w:p>
        </w:tc>
      </w:tr>
    </w:tbl>
    <w:p>
      <w:pPr>
        <w:spacing w:after="0"/>
      </w:pPr>
    </w:p>
    <w:p>
      <w:pPr>
        <w:pStyle w:val="Heading1"/>
      </w:pPr>
      <w:r>
        <w:t>10. Rastreabilidade e controle de carga — proposta</w:t>
      </w:r>
    </w:p>
    <w:p>
      <w:r>
        <w:t>Antes dos próximos ETLs, recomenda-se criar duas estruturas de controle. Elas ainda não são apresentadas como implementadas.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Estrutura proposta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Campos mínimos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FONTE_DADOS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Cadastro estável da origem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órgão, nome da fonte, URL oficial, periodicidade, descrição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CONTROLE_INGESTAO</w:t>
            </w:r>
          </w:p>
        </w:tc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Auditoria de cada execução</w:t>
            </w:r>
          </w:p>
        </w:tc>
        <w:tc>
          <w:tcPr>
            <w:tcW w:type="dxa" w:w="4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fonte, período/ano, versão, arquivo, datas, status, quantidades e hash SHA-256</w:t>
            </w:r>
          </w:p>
        </w:tc>
      </w:tr>
    </w:tbl>
    <w:p>
      <w:pPr>
        <w:spacing w:after="0"/>
      </w:pPr>
    </w:p>
    <w:p>
      <w:r>
        <w:t>O ano/período registrado em CONTROLE_INGESTAO não substitui NU_ANO_CENSO/CO_PERIODO dentro das tabelas de fatos. Um campo descreve a carga; o outro descreve o dado.</w:t>
      </w:r>
    </w:p>
    <w:p>
      <w:pPr>
        <w:pStyle w:val="Heading1"/>
      </w:pPr>
      <w:r>
        <w:t>11. Organização recomendada dos arquivos</w:t>
      </w:r>
    </w:p>
    <w:p>
      <w:pPr>
        <w:pStyle w:val="ListBullet"/>
        <w:spacing w:after="20"/>
      </w:pPr>
      <w:r>
        <w:t>backend/data/raw/ibge/ — cópias oficiais do IBGE sem alteração.</w:t>
      </w:r>
    </w:p>
    <w:p>
      <w:pPr>
        <w:pStyle w:val="ListBullet"/>
        <w:spacing w:after="20"/>
      </w:pPr>
      <w:r>
        <w:t>backend/data/raw/inep/censo_escolar_2025/ — pacote e CSVs oficiais do Censo Escolar.</w:t>
      </w:r>
    </w:p>
    <w:p>
      <w:pPr>
        <w:pStyle w:val="ListBullet"/>
        <w:spacing w:after="20"/>
      </w:pPr>
      <w:r>
        <w:t>backend/data/raw/inep/catalogo_escolas/ — exportações do Catálogo de Escolas.</w:t>
      </w:r>
    </w:p>
    <w:p>
      <w:pPr>
        <w:pStyle w:val="ListBullet"/>
        <w:spacing w:after="20"/>
      </w:pPr>
      <w:r>
        <w:t>backend/data/raw/seduc_sp/escolas_ativas/ — arquivo oficial de endereços/coordenadas da SEDUC-SP.</w:t>
      </w:r>
    </w:p>
    <w:p>
      <w:pPr>
        <w:pStyle w:val="ListBullet"/>
        <w:spacing w:after="20"/>
      </w:pPr>
      <w:r>
        <w:t>backend/data/raw/inep/censo_superior_2024/ — pacote oficial do Censo Superior.</w:t>
      </w:r>
    </w:p>
    <w:p>
      <w:pPr>
        <w:pStyle w:val="ListBullet"/>
        <w:spacing w:after="20"/>
      </w:pPr>
      <w:r>
        <w:t>backend/data/processed/ — saídas intermediárias geradas pelos ETLs, quando necessárias.</w:t>
      </w:r>
    </w:p>
    <w:p>
      <w:pPr>
        <w:pStyle w:val="ListBullet"/>
        <w:spacing w:after="20"/>
      </w:pPr>
      <w:r>
        <w:t>backend/src/ — leitura, validação, transformação e carga.</w:t>
      </w:r>
    </w:p>
    <w:p>
      <w:pPr>
        <w:pStyle w:val="ListBullet"/>
        <w:spacing w:after="20"/>
      </w:pPr>
      <w:r>
        <w:t>backend/database/ — DDL, migrations e SQL de apoio.</w:t>
      </w:r>
    </w:p>
    <w:p>
      <w:pPr>
        <w:pStyle w:val="Heading1"/>
      </w:pPr>
      <w:r>
        <w:t>12. Regras de governança</w:t>
      </w:r>
    </w:p>
    <w:p>
      <w:pPr>
        <w:pStyle w:val="ListBullet"/>
        <w:spacing w:after="20"/>
      </w:pPr>
      <w:r>
        <w:t>Nunca editar o arquivo bruto oficial.</w:t>
      </w:r>
    </w:p>
    <w:p>
      <w:pPr>
        <w:pStyle w:val="ListBullet"/>
        <w:spacing w:after="20"/>
      </w:pPr>
      <w:r>
        <w:t>Registrar ano/período, versão, data de obtenção e arquivo de origem.</w:t>
      </w:r>
    </w:p>
    <w:p>
      <w:pPr>
        <w:pStyle w:val="ListBullet"/>
        <w:spacing w:after="20"/>
      </w:pPr>
      <w:r>
        <w:t>Registrar hash SHA-256 do arquivo quando a rotina de controle de ingestão for implementada.</w:t>
      </w:r>
    </w:p>
    <w:p>
      <w:pPr>
        <w:pStyle w:val="ListBullet"/>
        <w:spacing w:after="20"/>
      </w:pPr>
      <w:r>
        <w:t>Não inventar campos ou preencher territorialidade ausente por inferência silenciosa.</w:t>
      </w:r>
    </w:p>
    <w:p>
      <w:pPr>
        <w:pStyle w:val="ListBullet"/>
        <w:spacing w:after="20"/>
      </w:pPr>
      <w:r>
        <w:t>Diferenciar coordenada oficial de coordenada derivada por geocodificação.</w:t>
      </w:r>
    </w:p>
    <w:p>
      <w:pPr>
        <w:pStyle w:val="ListBullet"/>
        <w:spacing w:after="20"/>
      </w:pPr>
      <w:r>
        <w:t>Não confundir quantidade de linhas com quantidade de entidades; cada fonte possui granularidade própria.</w:t>
      </w:r>
    </w:p>
    <w:p>
      <w:pPr>
        <w:pStyle w:val="ListBullet"/>
        <w:spacing w:after="20"/>
      </w:pPr>
      <w:r>
        <w:t>Manter credenciais em .env e fora do Git.</w:t>
      </w:r>
    </w:p>
    <w:p>
      <w:pPr>
        <w:pStyle w:val="ListBullet"/>
        <w:spacing w:after="20"/>
      </w:pPr>
      <w:r>
        <w:t>Documentar e validar uma fonte complementar antes de incorporá-la ao ETL.</w:t>
      </w:r>
    </w:p>
    <w:p>
      <w:pPr>
        <w:pStyle w:val="Heading1"/>
      </w:pPr>
      <w:r>
        <w:t>13. Próximas decisões antes dos ETLs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Atualizar o modelo de IBGE_DEMOGRAFICO e criar suporte a classificações/categorias SIDRA.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Formalizar ESCOLA_LOCALIZACAO como tabela proposta, com proveniência e método da coordenada.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Formalizar FONTE_DADOS e CONTROLE_INGESTAO.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Conferir o DDL real do PostgreSQL contra o novo Dicionário de Dados.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7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Somente então iniciar os ETLs demográfico, escolas/cursos técnicos e ensino superior.</w:t>
            </w:r>
          </w:p>
        </w:tc>
      </w:tr>
    </w:tbl>
    <w:p>
      <w:pPr>
        <w:spacing w:after="0"/>
      </w:pPr>
    </w:p>
    <w:p>
      <w:pPr>
        <w:pStyle w:val="Heading1"/>
      </w:pPr>
      <w:r>
        <w:t>14. Referências oficiais</w:t>
      </w:r>
    </w:p>
    <w:p>
      <w:pPr>
        <w:spacing w:after="40"/>
      </w:pPr>
      <w:r>
        <w:rPr>
          <w:b/>
        </w:rPr>
        <w:t xml:space="preserve">IBGE — Malha Municipal 2025: </w:t>
      </w:r>
      <w:r>
        <w:t>https://www.ibge.gov.br/geociencias/organizacao-do-territorio/estrutura-territorial/15774-malhas</w:t>
      </w:r>
    </w:p>
    <w:p>
      <w:pPr>
        <w:spacing w:after="40"/>
      </w:pPr>
      <w:r>
        <w:rPr>
          <w:b/>
        </w:rPr>
        <w:t xml:space="preserve">IBGE — API de Dados Agregados v3: </w:t>
      </w:r>
      <w:r>
        <w:t>https://servicodados.ibge.gov.br/api/docs/agregados?versao=3</w:t>
      </w:r>
    </w:p>
    <w:p>
      <w:pPr>
        <w:spacing w:after="40"/>
      </w:pPr>
      <w:r>
        <w:rPr>
          <w:b/>
        </w:rPr>
        <w:t xml:space="preserve">SIDRA — Tabela 4709: </w:t>
      </w:r>
      <w:r>
        <w:t>https://sidra.ibge.gov.br/tabela/4709</w:t>
      </w:r>
    </w:p>
    <w:p>
      <w:pPr>
        <w:spacing w:after="40"/>
      </w:pPr>
      <w:r>
        <w:rPr>
          <w:b/>
        </w:rPr>
        <w:t xml:space="preserve">SIDRA — Tabela 9514: </w:t>
      </w:r>
      <w:r>
        <w:t>https://sidra.ibge.gov.br/tabela/9514</w:t>
      </w:r>
    </w:p>
    <w:p>
      <w:pPr>
        <w:spacing w:after="40"/>
      </w:pPr>
      <w:r>
        <w:rPr>
          <w:b/>
        </w:rPr>
        <w:t xml:space="preserve">INEP — Microdados do Censo Escolar: </w:t>
      </w:r>
      <w:r>
        <w:t>https://www.gov.br/inep/pt-br/acesso-a-informacao/dados-abertos/microdados/censo-escolar</w:t>
      </w:r>
    </w:p>
    <w:p>
      <w:pPr>
        <w:spacing w:after="40"/>
      </w:pPr>
      <w:r>
        <w:rPr>
          <w:b/>
        </w:rPr>
        <w:t xml:space="preserve">INEP — Catálogo de Escolas: </w:t>
      </w:r>
      <w:r>
        <w:t>https://www.gov.br/inep/pt-br/acesso-a-informacao/dados-abertos/inep-data/catalogo-de-escolas/</w:t>
      </w:r>
    </w:p>
    <w:p>
      <w:pPr>
        <w:spacing w:after="40"/>
      </w:pPr>
      <w:r>
        <w:rPr>
          <w:b/>
        </w:rPr>
        <w:t xml:space="preserve">SEDUC-SP — Escolas Ativas: </w:t>
      </w:r>
      <w:r>
        <w:t>https://dados.educacao.sp.gov.br/dataset/escolas-ativas</w:t>
      </w:r>
    </w:p>
    <w:p>
      <w:pPr>
        <w:spacing w:after="40"/>
      </w:pPr>
      <w:r>
        <w:rPr>
          <w:b/>
        </w:rPr>
        <w:t xml:space="preserve">INEP — Microdados do Censo da Educação Superior: </w:t>
      </w:r>
      <w:r>
        <w:t>https://www.gov.br/inep/pt-br/acesso-a-informacao/dados-abertos/microdados/censo-da-educacao-superior</w:t>
      </w:r>
    </w:p>
    <w:p>
      <w:pPr>
        <w:spacing w:after="40"/>
      </w:pPr>
      <w:r>
        <w:rPr>
          <w:b/>
        </w:rPr>
        <w:t xml:space="preserve">ALESP — LC 1.241/2014: </w:t>
      </w:r>
      <w:r>
        <w:t>https://www.al.sp.gov.br/repositorio/legislacao/lei.complementar/2014/lei.complementar-1241-08.05.2014.html</w:t>
      </w:r>
    </w:p>
    <w:p>
      <w:pPr>
        <w:spacing w:after="40"/>
      </w:pPr>
      <w:r>
        <w:rPr>
          <w:b/>
        </w:rPr>
        <w:t xml:space="preserve">ALESP — legislação metropolitana (inclui LC 1.289/2016): </w:t>
      </w:r>
      <w:r>
        <w:t>https://www.al.sp.gov.br/alesp/legislacao-temas/?idTema=351&amp;idTipoNorma=2</w:t>
      </w:r>
    </w:p>
    <w:p>
      <w:r>
        <w:t>Nota legal: a composição atual de 27 municípios resulta da criação da RMS pela LC 1.241/2014 e da posterior integração de Itapetininga pela LC 1.289/2016.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VELTIS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VELTIS • Documentação técnica • Revisão 24/09/2026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83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ltisCallout">
    <w:name w:val="Veltis Callout"/>
    <w:pPr>
      <w:spacing w:before="80" w:after="120"/>
      <w:ind w:left="288" w:right="288"/>
    </w:pPr>
    <w:rPr>
      <w:rFonts w:ascii="Aptos" w:hAnsi="Aptos"/>
      <w:color w:val="1835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