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5BF0EAD2"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0C1E9B">
            <w:rPr>
              <w:sz w:val="22"/>
              <w:szCs w:val="22"/>
            </w:rPr>
            <w:t>2</w:t>
          </w:r>
          <w:r w:rsidR="00A15A88" w:rsidRPr="001816F7">
            <w:rPr>
              <w:sz w:val="22"/>
              <w:szCs w:val="22"/>
            </w:rPr>
            <w:t xml:space="preserve"> </w:t>
          </w:r>
          <w:r w:rsidRPr="001816F7">
            <w:rPr>
              <w:sz w:val="22"/>
              <w:szCs w:val="22"/>
            </w:rPr>
            <w:t xml:space="preserve">- </w:t>
          </w:r>
          <w:r w:rsidR="000C1E9B">
            <w:rPr>
              <w:sz w:val="22"/>
              <w:szCs w:val="22"/>
            </w:rPr>
            <w:t>August</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proofErr w:type="spellStart"/>
      <w:r w:rsidRPr="0034002A">
        <w:rPr>
          <w:rFonts w:eastAsia="Times New Roman" w:cs="Segoe UI"/>
          <w:b/>
          <w:bCs/>
          <w:kern w:val="0"/>
          <w:sz w:val="21"/>
          <w:szCs w:val="21"/>
          <w:lang w:eastAsia="en-GB"/>
          <w14:ligatures w14:val="none"/>
        </w:rPr>
        <w:t>MoSCoW</w:t>
      </w:r>
      <w:proofErr w:type="spellEnd"/>
      <w:r w:rsidRPr="0034002A">
        <w:rPr>
          <w:rFonts w:eastAsia="Times New Roman" w:cs="Segoe UI"/>
          <w:b/>
          <w:bCs/>
          <w:kern w:val="0"/>
          <w:sz w:val="21"/>
          <w:szCs w:val="21"/>
          <w:lang w:eastAsia="en-GB"/>
          <w14:ligatures w14:val="none"/>
        </w:rPr>
        <w:t xml:space="preserve">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xml:space="preserve"> (e.g., </w:t>
      </w:r>
      <w:proofErr w:type="spellStart"/>
      <w:r w:rsidRPr="0034002A">
        <w:rPr>
          <w:rFonts w:eastAsia="Times New Roman" w:cs="Segoe UI"/>
          <w:kern w:val="0"/>
          <w:sz w:val="21"/>
          <w:szCs w:val="21"/>
          <w:lang w:eastAsia="en-GB"/>
          <w14:ligatures w14:val="none"/>
        </w:rPr>
        <w:t>GitFlow</w:t>
      </w:r>
      <w:proofErr w:type="spellEnd"/>
      <w:r w:rsidRPr="0034002A">
        <w:rPr>
          <w:rFonts w:eastAsia="Times New Roman" w:cs="Segoe UI"/>
          <w:kern w:val="0"/>
          <w:sz w:val="21"/>
          <w:szCs w:val="21"/>
          <w:lang w:eastAsia="en-GB"/>
          <w14:ligatures w14:val="none"/>
        </w:rPr>
        <w:t>)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33274028" w:rsidR="00CD6F6A" w:rsidRPr="00730520" w:rsidRDefault="00E408A6" w:rsidP="00730520">
      <w:pPr>
        <w:jc w:val="cente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74458A">
        <w:rPr>
          <w:rFonts w:eastAsia="Times New Roman" w:cs="Segoe UI"/>
          <w:b/>
          <w:bCs/>
          <w:color w:val="EE0000"/>
          <w:kern w:val="0"/>
          <w:sz w:val="22"/>
          <w:szCs w:val="22"/>
          <w:lang w:eastAsia="en-GB"/>
          <w14:ligatures w14:val="none"/>
        </w:rPr>
        <w:t>Í</w:t>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513190" w:rsidRPr="001816F7" w14:paraId="038B01DD" w14:textId="77777777" w:rsidTr="00513190">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6CBE94" w14:textId="6B29DAFF" w:rsidR="00513190" w:rsidRPr="001D052E" w:rsidRDefault="009223BC" w:rsidP="003628A1">
            <w:pPr>
              <w:rPr>
                <w:rFonts w:cs="Open Sans"/>
                <w:color w:val="000000"/>
                <w:sz w:val="18"/>
                <w:szCs w:val="18"/>
              </w:rPr>
            </w:pPr>
            <w:r w:rsidRPr="001D052E">
              <w:rPr>
                <w:rFonts w:cs="Open Sans"/>
                <w:color w:val="000000"/>
                <w:sz w:val="18"/>
                <w:szCs w:val="18"/>
                <w:shd w:val="clear" w:color="auto" w:fill="FFFFFF"/>
              </w:rPr>
              <w:t xml:space="preserve">Software Engineer - </w:t>
            </w:r>
            <w:r w:rsidR="00803BFB">
              <w:rPr>
                <w:rFonts w:cs="Open Sans"/>
                <w:color w:val="000000"/>
                <w:sz w:val="18"/>
                <w:szCs w:val="18"/>
                <w:shd w:val="clear" w:color="auto" w:fill="FFFFFF"/>
              </w:rPr>
              <w:br/>
            </w:r>
            <w:r w:rsidR="00803BFB" w:rsidRPr="001816F7">
              <w:rPr>
                <w:rFonts w:cs="Open Sans"/>
                <w:color w:val="000000"/>
                <w:sz w:val="18"/>
                <w:szCs w:val="18"/>
              </w:rPr>
              <w:t>(</w:t>
            </w:r>
            <w:r w:rsidR="00803BFB" w:rsidRPr="001816F7">
              <w:rPr>
                <w:rFonts w:eastAsia="Times New Roman" w:cs="Segoe UI"/>
                <w:b/>
                <w:bCs/>
                <w:kern w:val="0"/>
                <w:sz w:val="18"/>
                <w:szCs w:val="18"/>
                <w:lang w:eastAsia="en-GB"/>
                <w14:ligatures w14:val="none"/>
              </w:rPr>
              <w:t>A: Underlying Principles)</w:t>
            </w:r>
            <w:r w:rsidR="001D052E" w:rsidRPr="001D052E">
              <w:rPr>
                <w:rFonts w:cs="Open Sans"/>
                <w:color w:val="000000"/>
                <w:sz w:val="18"/>
                <w:szCs w:val="18"/>
                <w:shd w:val="clear" w:color="auto" w:fill="FFFFFF"/>
              </w:rPr>
              <w:br/>
            </w:r>
            <w:r w:rsidRPr="00803BFB">
              <w:rPr>
                <w:rStyle w:val="form-tooltipksbicon"/>
                <w:rFonts w:cs="Open Sans"/>
                <w:color w:val="EE0000"/>
                <w:sz w:val="18"/>
                <w:szCs w:val="18"/>
                <w:bdr w:val="none" w:sz="0" w:space="0" w:color="auto" w:frame="1"/>
                <w:shd w:val="clear" w:color="auto" w:fill="FFFFFF"/>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E37B1D" w14:textId="7EB906DC"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Describes scenarios covering all stages of a development lifecycle, identifying techniques and methods are applied in each case. </w:t>
            </w:r>
            <w:r w:rsidRPr="00803BFB">
              <w:rPr>
                <w:rFonts w:asciiTheme="minorHAnsi" w:hAnsiTheme="minorHAnsi" w:cs="Open Sans"/>
                <w:color w:val="EE0000"/>
                <w:sz w:val="18"/>
                <w:szCs w:val="18"/>
              </w:rPr>
              <w:t>(K21</w:t>
            </w:r>
            <w:r w:rsidR="00C5625B">
              <w:rPr>
                <w:rFonts w:asciiTheme="minorHAnsi" w:hAnsiTheme="minorHAnsi" w:cs="Open Sans"/>
                <w:color w:val="EE0000"/>
                <w:sz w:val="18"/>
                <w:szCs w:val="18"/>
              </w:rPr>
              <w:t>/SE</w:t>
            </w:r>
            <w:r w:rsidR="003F466B">
              <w:rPr>
                <w:rFonts w:asciiTheme="minorHAnsi" w:hAnsiTheme="minorHAnsi" w:cs="Open Sans"/>
                <w:color w:val="EE0000"/>
                <w:sz w:val="18"/>
                <w:szCs w:val="18"/>
              </w:rPr>
              <w:t>K1</w:t>
            </w:r>
            <w:r w:rsidRPr="00803BFB">
              <w:rPr>
                <w:rFonts w:asciiTheme="minorHAnsi" w:hAnsiTheme="minorHAnsi" w:cs="Open Sans"/>
                <w:color w:val="EE0000"/>
                <w:sz w:val="18"/>
                <w:szCs w:val="18"/>
              </w:rPr>
              <w:t>)</w:t>
            </w:r>
          </w:p>
          <w:p w14:paraId="50F6CFB1" w14:textId="69859E88"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techniques, for each stage of the software development cycle that produce artefacts and the contexts in which they can be applied. </w:t>
            </w:r>
            <w:r w:rsidRPr="00803BFB">
              <w:rPr>
                <w:rFonts w:asciiTheme="minorHAnsi" w:hAnsiTheme="minorHAnsi" w:cs="Open Sans"/>
                <w:color w:val="EE0000"/>
                <w:sz w:val="18"/>
                <w:szCs w:val="18"/>
              </w:rPr>
              <w:t>(K22</w:t>
            </w:r>
            <w:r w:rsidR="003F466B">
              <w:rPr>
                <w:rFonts w:asciiTheme="minorHAnsi" w:hAnsiTheme="minorHAnsi" w:cs="Open Sans"/>
                <w:color w:val="EE0000"/>
                <w:sz w:val="18"/>
                <w:szCs w:val="18"/>
              </w:rPr>
              <w:t>/SEK2</w:t>
            </w:r>
            <w:r w:rsidRPr="00803BFB">
              <w:rPr>
                <w:rFonts w:asciiTheme="minorHAnsi" w:hAnsiTheme="minorHAnsi" w:cs="Open Sans"/>
                <w:color w:val="EE0000"/>
                <w:sz w:val="18"/>
                <w:szCs w:val="18"/>
              </w:rPr>
              <w:t>)</w:t>
            </w:r>
          </w:p>
          <w:p w14:paraId="73D81FF6" w14:textId="3D073433" w:rsidR="00513190" w:rsidRPr="001816F7" w:rsidRDefault="005D3B1B" w:rsidP="008946C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methods and approaches and the contexts in which they can be applied. </w:t>
            </w:r>
            <w:r w:rsidRPr="00803BFB">
              <w:rPr>
                <w:rFonts w:asciiTheme="minorHAnsi" w:hAnsiTheme="minorHAnsi" w:cs="Open Sans"/>
                <w:color w:val="EE0000"/>
                <w:sz w:val="18"/>
                <w:szCs w:val="18"/>
              </w:rPr>
              <w:t>(K23</w:t>
            </w:r>
            <w:r w:rsidR="003F466B">
              <w:rPr>
                <w:rFonts w:asciiTheme="minorHAnsi" w:hAnsiTheme="minorHAnsi" w:cs="Open Sans"/>
                <w:color w:val="EE0000"/>
                <w:sz w:val="18"/>
                <w:szCs w:val="18"/>
              </w:rPr>
              <w:t>/SEK3</w:t>
            </w:r>
            <w:r w:rsidRPr="00803BFB">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lastRenderedPageBreak/>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8C69B2">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568EEC0E" w:rsidR="00D35A13" w:rsidRPr="00662975" w:rsidRDefault="00D35A13" w:rsidP="00D35A13">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D35A13" w:rsidRPr="001816F7" w14:paraId="03B9D89F" w14:textId="77777777" w:rsidTr="00925B47">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2B48E0A" w14:textId="07837C3F" w:rsidR="00D35A13" w:rsidRPr="00662975" w:rsidRDefault="00D35A13" w:rsidP="004C0F96">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D35A13" w:rsidRPr="001816F7" w14:paraId="17C3CD90" w14:textId="77777777" w:rsidTr="00925B47">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2EC896D2" w:rsidR="00D35A13" w:rsidRPr="00662975" w:rsidRDefault="00D35A13" w:rsidP="004C0F96">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3585E1F5" w14:textId="6CC515FD" w:rsidR="00D35A13" w:rsidRDefault="00D35A13" w:rsidP="002206EE"/>
    <w:p w14:paraId="5FE97E4C" w14:textId="77777777" w:rsidR="00D35A13" w:rsidRDefault="00D35A13">
      <w:r>
        <w:br w:type="page"/>
      </w:r>
    </w:p>
    <w:p w14:paraId="405DE272" w14:textId="77777777" w:rsidR="002472C7" w:rsidRDefault="002472C7" w:rsidP="002206EE"/>
    <w:p w14:paraId="0F961983"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(K24/SEK4)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(S20/SES5)</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2167D154"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1</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662975" w:rsidRDefault="00D03188"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662975">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Justifies the application of relevant legal, ethical, social and professional standards to digital and technology solutions. </w:t>
            </w:r>
            <w:r w:rsidR="00D03188" w:rsidRPr="00662975">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662975" w:rsidRDefault="00D03188" w:rsidP="00E43B2B">
            <w:pPr>
              <w:rPr>
                <w:sz w:val="18"/>
                <w:szCs w:val="18"/>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66297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Evaluates the impact of sustainable digital technology practices of their organisation. </w:t>
            </w:r>
            <w:r w:rsidR="00D03188"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03AC5894"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2</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DB0E9CD" w14:textId="1D56A8A2"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98A02" w14:textId="77777777" w:rsidR="00F028B3" w:rsidRDefault="00F028B3" w:rsidP="00461E3B">
      <w:r>
        <w:separator/>
      </w:r>
    </w:p>
  </w:endnote>
  <w:endnote w:type="continuationSeparator" w:id="0">
    <w:p w14:paraId="286513A5" w14:textId="77777777" w:rsidR="00F028B3" w:rsidRDefault="00F028B3"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47A96" w14:textId="77777777" w:rsidR="00F028B3" w:rsidRDefault="00F028B3" w:rsidP="00461E3B">
      <w:r>
        <w:separator/>
      </w:r>
    </w:p>
  </w:footnote>
  <w:footnote w:type="continuationSeparator" w:id="0">
    <w:p w14:paraId="1F35E9E4" w14:textId="77777777" w:rsidR="00F028B3" w:rsidRDefault="00F028B3"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96B96"/>
    <w:rsid w:val="001A17AE"/>
    <w:rsid w:val="001A20E6"/>
    <w:rsid w:val="001A399C"/>
    <w:rsid w:val="001A52A5"/>
    <w:rsid w:val="001B6B3A"/>
    <w:rsid w:val="001D052E"/>
    <w:rsid w:val="001E1DA0"/>
    <w:rsid w:val="00201F04"/>
    <w:rsid w:val="00202FB2"/>
    <w:rsid w:val="002206EE"/>
    <w:rsid w:val="00240677"/>
    <w:rsid w:val="00240C68"/>
    <w:rsid w:val="00246635"/>
    <w:rsid w:val="002472C7"/>
    <w:rsid w:val="002545E5"/>
    <w:rsid w:val="00270D5A"/>
    <w:rsid w:val="00280310"/>
    <w:rsid w:val="00294B66"/>
    <w:rsid w:val="002C540F"/>
    <w:rsid w:val="002D1898"/>
    <w:rsid w:val="002E586D"/>
    <w:rsid w:val="00313B1E"/>
    <w:rsid w:val="003347B9"/>
    <w:rsid w:val="003628A1"/>
    <w:rsid w:val="00364797"/>
    <w:rsid w:val="0036559D"/>
    <w:rsid w:val="00370223"/>
    <w:rsid w:val="0037107C"/>
    <w:rsid w:val="003747F8"/>
    <w:rsid w:val="0039432D"/>
    <w:rsid w:val="003F2AC7"/>
    <w:rsid w:val="003F466B"/>
    <w:rsid w:val="0040219B"/>
    <w:rsid w:val="00411978"/>
    <w:rsid w:val="00453A89"/>
    <w:rsid w:val="00456455"/>
    <w:rsid w:val="0046163E"/>
    <w:rsid w:val="00461E3B"/>
    <w:rsid w:val="004855F2"/>
    <w:rsid w:val="004A2074"/>
    <w:rsid w:val="004A5232"/>
    <w:rsid w:val="004A6207"/>
    <w:rsid w:val="004C0F96"/>
    <w:rsid w:val="00502DA1"/>
    <w:rsid w:val="00511607"/>
    <w:rsid w:val="00513190"/>
    <w:rsid w:val="00531F81"/>
    <w:rsid w:val="00533FDB"/>
    <w:rsid w:val="00557142"/>
    <w:rsid w:val="005631B1"/>
    <w:rsid w:val="00563ABE"/>
    <w:rsid w:val="005765A5"/>
    <w:rsid w:val="005B3EF4"/>
    <w:rsid w:val="005B4BD7"/>
    <w:rsid w:val="005D2376"/>
    <w:rsid w:val="005D2E75"/>
    <w:rsid w:val="005D3B1B"/>
    <w:rsid w:val="00603C6B"/>
    <w:rsid w:val="00607CC6"/>
    <w:rsid w:val="006241B0"/>
    <w:rsid w:val="00645484"/>
    <w:rsid w:val="00656E5A"/>
    <w:rsid w:val="00662975"/>
    <w:rsid w:val="00665B92"/>
    <w:rsid w:val="00675156"/>
    <w:rsid w:val="0067554C"/>
    <w:rsid w:val="0068437A"/>
    <w:rsid w:val="006A27DB"/>
    <w:rsid w:val="006B3A9B"/>
    <w:rsid w:val="006C1536"/>
    <w:rsid w:val="006C542A"/>
    <w:rsid w:val="006D4280"/>
    <w:rsid w:val="006E330A"/>
    <w:rsid w:val="006F06C6"/>
    <w:rsid w:val="00705EBB"/>
    <w:rsid w:val="0072339F"/>
    <w:rsid w:val="00730520"/>
    <w:rsid w:val="00732672"/>
    <w:rsid w:val="00735CFC"/>
    <w:rsid w:val="0074458A"/>
    <w:rsid w:val="00756002"/>
    <w:rsid w:val="00764CB4"/>
    <w:rsid w:val="00766D0C"/>
    <w:rsid w:val="007766DD"/>
    <w:rsid w:val="00781E8F"/>
    <w:rsid w:val="007B787F"/>
    <w:rsid w:val="007C567D"/>
    <w:rsid w:val="007D0028"/>
    <w:rsid w:val="007D1B8B"/>
    <w:rsid w:val="007D7292"/>
    <w:rsid w:val="00803BFB"/>
    <w:rsid w:val="00803DE0"/>
    <w:rsid w:val="0082163A"/>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8F70B2"/>
    <w:rsid w:val="009056DC"/>
    <w:rsid w:val="009223BC"/>
    <w:rsid w:val="0092301E"/>
    <w:rsid w:val="00925B47"/>
    <w:rsid w:val="0094693F"/>
    <w:rsid w:val="00956EAE"/>
    <w:rsid w:val="009940BC"/>
    <w:rsid w:val="009A2C84"/>
    <w:rsid w:val="009C2458"/>
    <w:rsid w:val="009F3263"/>
    <w:rsid w:val="009F732A"/>
    <w:rsid w:val="00A04D00"/>
    <w:rsid w:val="00A10305"/>
    <w:rsid w:val="00A15A88"/>
    <w:rsid w:val="00A223A5"/>
    <w:rsid w:val="00A2465C"/>
    <w:rsid w:val="00A31915"/>
    <w:rsid w:val="00A3391A"/>
    <w:rsid w:val="00A356BF"/>
    <w:rsid w:val="00A508C5"/>
    <w:rsid w:val="00A527EF"/>
    <w:rsid w:val="00A6100F"/>
    <w:rsid w:val="00AA0C64"/>
    <w:rsid w:val="00AA0E67"/>
    <w:rsid w:val="00AB201D"/>
    <w:rsid w:val="00AB5795"/>
    <w:rsid w:val="00AC0A79"/>
    <w:rsid w:val="00AC6280"/>
    <w:rsid w:val="00AF15C0"/>
    <w:rsid w:val="00B13592"/>
    <w:rsid w:val="00B240E6"/>
    <w:rsid w:val="00B2551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5625B"/>
    <w:rsid w:val="00C61B61"/>
    <w:rsid w:val="00C62DF6"/>
    <w:rsid w:val="00C77F4C"/>
    <w:rsid w:val="00C91936"/>
    <w:rsid w:val="00CD6F6A"/>
    <w:rsid w:val="00CE300D"/>
    <w:rsid w:val="00CE44E0"/>
    <w:rsid w:val="00D02A70"/>
    <w:rsid w:val="00D03188"/>
    <w:rsid w:val="00D25205"/>
    <w:rsid w:val="00D26B5E"/>
    <w:rsid w:val="00D27DA1"/>
    <w:rsid w:val="00D31B66"/>
    <w:rsid w:val="00D31DC0"/>
    <w:rsid w:val="00D35A13"/>
    <w:rsid w:val="00D40240"/>
    <w:rsid w:val="00D5492A"/>
    <w:rsid w:val="00D54D4C"/>
    <w:rsid w:val="00D673A2"/>
    <w:rsid w:val="00D835FF"/>
    <w:rsid w:val="00D9079A"/>
    <w:rsid w:val="00DA7F3B"/>
    <w:rsid w:val="00DC782A"/>
    <w:rsid w:val="00DE1966"/>
    <w:rsid w:val="00DF7FD3"/>
    <w:rsid w:val="00E03ECA"/>
    <w:rsid w:val="00E15F07"/>
    <w:rsid w:val="00E17A0E"/>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28B3"/>
    <w:rsid w:val="00F063AF"/>
    <w:rsid w:val="00F23DAA"/>
    <w:rsid w:val="00F30F5A"/>
    <w:rsid w:val="00F32E04"/>
    <w:rsid w:val="00F353DC"/>
    <w:rsid w:val="00F517EA"/>
    <w:rsid w:val="00F64282"/>
    <w:rsid w:val="00F958BF"/>
    <w:rsid w:val="00FA35A3"/>
    <w:rsid w:val="00FB2B01"/>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6780</Words>
  <Characters>38648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6</cp:revision>
  <dcterms:created xsi:type="dcterms:W3CDTF">2025-08-12T13:28:00Z</dcterms:created>
  <dcterms:modified xsi:type="dcterms:W3CDTF">2025-08-22T13:44:00Z</dcterms:modified>
</cp:coreProperties>
</file>