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51599500"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 xml:space="preserve">Template Document (Version: </w:t>
          </w:r>
          <w:r w:rsidR="00BF35C4">
            <w:rPr>
              <w:rFonts w:ascii="PT Sans" w:hAnsi="PT Sans"/>
              <w:sz w:val="22"/>
              <w:szCs w:val="22"/>
            </w:rPr>
            <w:t>2 -</w:t>
          </w:r>
          <w:r>
            <w:rPr>
              <w:rFonts w:ascii="PT Sans" w:hAnsi="PT Sans"/>
              <w:sz w:val="22"/>
              <w:szCs w:val="22"/>
            </w:rPr>
            <w:t xml:space="preserve"> </w:t>
          </w:r>
          <w:r w:rsidR="00BF35C4">
            <w:rPr>
              <w:rFonts w:ascii="PT Sans" w:hAnsi="PT Sans"/>
              <w:sz w:val="22"/>
              <w:szCs w:val="22"/>
            </w:rPr>
            <w:t>Aug</w:t>
          </w:r>
          <w:r>
            <w:rPr>
              <w:rFonts w:ascii="PT Sans" w:hAnsi="PT Sans"/>
              <w:sz w:val="22"/>
              <w:szCs w:val="22"/>
            </w:rPr>
            <w:t xml:space="preserve">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6263F364"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w:t>
            </w:r>
            <w:r w:rsidR="008E6967">
              <w:rPr>
                <w:rFonts w:ascii="PT Sans" w:hAnsi="PT Sans"/>
              </w:rPr>
              <w:t>2</w:t>
            </w:r>
            <w:r w:rsidR="00883F39">
              <w:rPr>
                <w:rFonts w:ascii="PT Sans" w:hAnsi="PT Sans"/>
              </w:rPr>
              <w:t xml:space="preserve">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D75603" w:rsidRPr="00A80195">
              <w:rPr>
                <w:rFonts w:ascii="PT Sans" w:hAnsi="PT Sans"/>
                <w:b/>
                <w:bCs/>
                <w:sz w:val="22"/>
                <w:szCs w:val="22"/>
              </w:rPr>
              <w:t>Software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7BA851E7" w:rsidR="00A04E9B" w:rsidRPr="00343BBF" w:rsidRDefault="00CA4997" w:rsidP="00A04E9B">
      <w:pPr>
        <w:pStyle w:val="Heading1"/>
        <w:rPr>
          <w:rFonts w:ascii="Trebuchet MS" w:hAnsi="Trebuchet MS"/>
          <w:b/>
          <w:bCs/>
          <w:color w:val="auto"/>
          <w:sz w:val="28"/>
          <w:szCs w:val="28"/>
        </w:rPr>
      </w:pPr>
      <w:r w:rsidRPr="00343BBF">
        <w:rPr>
          <w:rFonts w:ascii="Trebuchet MS" w:hAnsi="Trebuchet MS"/>
          <w:color w:val="auto"/>
          <w:sz w:val="32"/>
          <w:szCs w:val="32"/>
        </w:rPr>
        <w:br/>
      </w:r>
      <w:r w:rsidR="00A04E9B" w:rsidRPr="00343BBF">
        <w:rPr>
          <w:rFonts w:ascii="Trebuchet MS" w:hAnsi="Trebuchet MS"/>
          <w:b/>
          <w:bCs/>
          <w:color w:val="auto"/>
          <w:sz w:val="28"/>
          <w:szCs w:val="28"/>
        </w:rPr>
        <w:t>Software Engineer Portfolio Evidence</w:t>
      </w:r>
    </w:p>
    <w:p w14:paraId="74F2A2A4" w14:textId="2013CE15"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DB72F2"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C1298F" w:rsidRPr="001816F7" w14:paraId="49860EE5"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0B06100" w14:textId="77777777" w:rsidR="00C1298F" w:rsidRPr="001816F7" w:rsidRDefault="00C1298F" w:rsidP="002A4F48">
            <w:pPr>
              <w:rPr>
                <w:sz w:val="21"/>
                <w:szCs w:val="21"/>
              </w:rPr>
            </w:pPr>
            <w:r w:rsidRPr="001816F7">
              <w:rPr>
                <w:b/>
                <w:bCs/>
                <w:sz w:val="22"/>
                <w:szCs w:val="22"/>
              </w:rPr>
              <w:t xml:space="preserve">Theme A: Underlying Principles </w:t>
            </w:r>
            <w:r>
              <w:rPr>
                <w:b/>
                <w:bCs/>
                <w:sz w:val="22"/>
                <w:szCs w:val="22"/>
              </w:rPr>
              <w:t>3</w:t>
            </w:r>
          </w:p>
        </w:tc>
      </w:tr>
      <w:tr w:rsidR="00C1298F" w:rsidRPr="001816F7" w14:paraId="113F704F" w14:textId="77777777" w:rsidTr="002A4F48">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F6557D" w14:textId="77777777" w:rsidR="00C1298F" w:rsidRPr="00662975" w:rsidRDefault="00C1298F"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33A5E46" w14:textId="77777777" w:rsidR="00C1298F" w:rsidRPr="00662975" w:rsidRDefault="00C1298F" w:rsidP="002A4F48">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C1298F" w:rsidRPr="001816F7" w14:paraId="079562DF" w14:textId="77777777" w:rsidTr="002A4F48">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C4481D" w14:textId="77777777" w:rsidR="00C1298F" w:rsidRPr="00662975" w:rsidRDefault="00C1298F"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A0F49F8" w14:textId="77777777" w:rsidR="00C1298F" w:rsidRPr="00662975" w:rsidRDefault="00C1298F" w:rsidP="002A4F48">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C1298F" w:rsidRPr="001816F7" w14:paraId="54A17943" w14:textId="77777777" w:rsidTr="002A4F48">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FECC33" w14:textId="77777777" w:rsidR="00C1298F" w:rsidRPr="00662975" w:rsidRDefault="00C1298F"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EC6312" w14:textId="77777777" w:rsidR="00C1298F" w:rsidRPr="00662975" w:rsidRDefault="00C1298F" w:rsidP="002A4F48">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C1298F" w:rsidRPr="001816F7" w14:paraId="0F1B50CC"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1B5E35E" w14:textId="77777777" w:rsidR="00C1298F" w:rsidRPr="001816F7" w:rsidRDefault="00C1298F"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E079CB" w14:textId="77777777" w:rsidR="00C1298F" w:rsidRPr="001816F7" w:rsidRDefault="00C1298F"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3AD491F" w14:textId="77777777" w:rsidR="00C1298F" w:rsidRPr="001816F7" w:rsidRDefault="00C1298F"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DB0513" w14:textId="77777777" w:rsidR="00C1298F" w:rsidRPr="001816F7" w:rsidRDefault="00C1298F"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5E8970" w14:textId="77777777" w:rsidR="00C1298F" w:rsidRPr="001816F7" w:rsidRDefault="00C1298F"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CB57DE" w14:textId="77777777" w:rsidR="00C1298F" w:rsidRPr="001816F7" w:rsidRDefault="00C1298F"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6F6B2BE" w14:textId="77777777" w:rsidR="00C1298F" w:rsidRPr="001816F7" w:rsidRDefault="00C1298F"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340DBA" w14:textId="77777777" w:rsidR="00C1298F" w:rsidRPr="001816F7" w:rsidRDefault="00C1298F"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FF3EDC" w14:textId="77777777" w:rsidR="00C1298F" w:rsidRPr="001816F7" w:rsidRDefault="00C1298F" w:rsidP="002A4F48">
            <w:pPr>
              <w:jc w:val="center"/>
              <w:rPr>
                <w:b/>
                <w:bCs/>
                <w:sz w:val="21"/>
                <w:szCs w:val="21"/>
              </w:rPr>
            </w:pPr>
          </w:p>
        </w:tc>
      </w:tr>
    </w:tbl>
    <w:p w14:paraId="30B5920A" w14:textId="502D5C65" w:rsidR="001C595A" w:rsidRDefault="001C595A" w:rsidP="00DF6235"/>
    <w:p w14:paraId="773E611C" w14:textId="77777777" w:rsidR="001C595A" w:rsidRDefault="001C595A">
      <w:r>
        <w:br w:type="page"/>
      </w:r>
    </w:p>
    <w:p w14:paraId="1142F13D" w14:textId="77777777" w:rsidR="00C1298F" w:rsidRDefault="00C1298F"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AB5795" w:rsidRDefault="00DF6235">
            <w:r w:rsidRPr="00AB5795">
              <w:rPr>
                <w:rFonts w:ascii="PT Sans" w:hAnsi="PT Sans"/>
                <w:b/>
                <w:bCs/>
                <w:sz w:val="22"/>
                <w:szCs w:val="22"/>
              </w:rPr>
              <w:t xml:space="preserve">Theme </w:t>
            </w:r>
            <w:r>
              <w:rPr>
                <w:rFonts w:ascii="PT Sans" w:hAnsi="PT Sans"/>
                <w:b/>
                <w:bCs/>
                <w:sz w:val="22"/>
                <w:szCs w:val="22"/>
              </w:rPr>
              <w:t>B</w:t>
            </w:r>
            <w:r w:rsidRPr="00AB5795">
              <w:rPr>
                <w:rFonts w:ascii="PT Sans" w:hAnsi="PT Sans"/>
                <w:b/>
                <w:bCs/>
                <w:sz w:val="22"/>
                <w:szCs w:val="22"/>
              </w:rPr>
              <w:t xml:space="preserve">: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77777777" w:rsidR="00DF6235" w:rsidRPr="00AB5795" w:rsidRDefault="00DF6235">
            <w:r w:rsidRPr="007D0097">
              <w:rPr>
                <w:rFonts w:ascii="PT Sans" w:hAnsi="PT Sans" w:cs="Open Sans"/>
                <w:color w:val="000000"/>
                <w:sz w:val="18"/>
                <w:szCs w:val="18"/>
              </w:rPr>
              <w:t>Software Engineer -</w:t>
            </w:r>
            <w:r w:rsidRPr="007D0097">
              <w:rPr>
                <w:rFonts w:ascii="PT Sans" w:hAnsi="PT Sans" w:cs="Open Sans"/>
                <w:color w:val="000000"/>
                <w:sz w:val="18"/>
                <w:szCs w:val="18"/>
              </w:rPr>
              <w:br/>
              <w:t>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sidRPr="007D0097">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 interpret and implement a design, compliant with functional, non-functional and security requirements. </w:t>
            </w:r>
            <w:r w:rsidRPr="00C4184D">
              <w:rPr>
                <w:rFonts w:ascii="PT Sans" w:hAnsi="PT Sans" w:cs="Open Sans"/>
                <w:color w:val="EE0000"/>
                <w:sz w:val="18"/>
                <w:szCs w:val="18"/>
              </w:rPr>
              <w:t>(K24/SEK4)</w:t>
            </w:r>
          </w:p>
          <w:p w14:paraId="075BE449" w14:textId="77777777" w:rsidR="00DF6235" w:rsidRPr="00AB5795" w:rsidRDefault="00DF6235"/>
        </w:tc>
      </w:tr>
      <w:tr w:rsidR="00DF6235" w:rsidRPr="00AB5795"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AB5795" w:rsidRDefault="00DF6235"/>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A04D00"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Describes how tools that support teamwork can be used </w:t>
            </w:r>
            <w:r w:rsidRPr="00C4184D">
              <w:rPr>
                <w:rFonts w:ascii="PT Sans" w:hAnsi="PT Sans" w:cs="Open Sans"/>
                <w:sz w:val="18"/>
                <w:szCs w:val="18"/>
              </w:rPr>
              <w:t xml:space="preserve">effectively. </w:t>
            </w:r>
            <w:r w:rsidRPr="00C4184D">
              <w:rPr>
                <w:rFonts w:ascii="PT Sans" w:hAnsi="PT Sans" w:cs="Open Sans"/>
                <w:color w:val="EE0000"/>
                <w:sz w:val="18"/>
                <w:szCs w:val="18"/>
              </w:rPr>
              <w:t>(K28/SEK8)</w:t>
            </w:r>
          </w:p>
        </w:tc>
      </w:tr>
      <w:tr w:rsidR="00DF6235" w:rsidRPr="00AB5795"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A04D00" w:rsidRDefault="00DF6235">
            <w:pPr>
              <w:jc w:val="center"/>
              <w:rPr>
                <w:b/>
                <w:bCs/>
              </w:rPr>
            </w:pPr>
            <w:r w:rsidRPr="00A04D00">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A04D00" w:rsidRDefault="00DF6235">
            <w:pPr>
              <w:jc w:val="center"/>
              <w:rPr>
                <w:b/>
                <w:bCs/>
              </w:rPr>
            </w:pPr>
            <w:r w:rsidRPr="00A04D00">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AB5795" w:rsidRDefault="00DF6235"/>
        </w:tc>
      </w:tr>
    </w:tbl>
    <w:p w14:paraId="3BAECAB6" w14:textId="2F170B61" w:rsidR="001C595A" w:rsidRDefault="001C595A" w:rsidP="00DF6235"/>
    <w:p w14:paraId="221C459B" w14:textId="77777777" w:rsidR="001C595A" w:rsidRDefault="001C595A">
      <w:r>
        <w:br w:type="page"/>
      </w:r>
    </w:p>
    <w:p w14:paraId="09697E1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AB5795"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AB5795" w:rsidRDefault="00DF6235">
            <w:r w:rsidRPr="00F063AF">
              <w:rPr>
                <w:rFonts w:ascii="Segoe UI" w:eastAsia="Times New Roman" w:hAnsi="Segoe UI" w:cs="Segoe UI"/>
                <w:b/>
                <w:bCs/>
                <w:kern w:val="0"/>
                <w:lang w:eastAsia="en-GB"/>
                <w14:ligatures w14:val="none"/>
              </w:rPr>
              <w:t>Theme C: Innovation &amp; Response</w:t>
            </w:r>
          </w:p>
        </w:tc>
      </w:tr>
      <w:tr w:rsidR="00DF6235" w:rsidRPr="00AB5795"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Innovation and Response</w:t>
            </w:r>
            <w:r>
              <w:rPr>
                <w:rFonts w:ascii="PT Sans" w:hAnsi="PT Sans" w:cs="Open Sans"/>
                <w:color w:val="000000"/>
                <w:sz w:val="18"/>
                <w:szCs w:val="18"/>
              </w:rPr>
              <w:br/>
            </w:r>
            <w:r w:rsidRPr="00047A75">
              <w:rPr>
                <w:rFonts w:ascii="PT Sans" w:hAnsi="PT San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7D0097" w:rsidRDefault="00DF6235">
            <w:pPr>
              <w:pStyle w:val="NormalWeb"/>
              <w:spacing w:before="0" w:beforeAutospacing="0" w:after="240" w:afterAutospacing="0"/>
              <w:ind w:left="121"/>
              <w:textAlignment w:val="baseline"/>
              <w:rPr>
                <w:rFonts w:ascii="PT Sans" w:hAnsi="PT Sans" w:cs="Open Sans"/>
                <w:color w:val="000000"/>
                <w:sz w:val="18"/>
                <w:szCs w:val="18"/>
              </w:rPr>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Demonstrates how their actions have influenced the creation of appropriate plans within teams and contributed to project outcomes. </w:t>
            </w:r>
            <w:r w:rsidRPr="005B3EF4">
              <w:rPr>
                <w:rFonts w:ascii="PT Sans" w:hAnsi="PT Sans" w:cs="Open Sans"/>
                <w:color w:val="EE0000"/>
                <w:sz w:val="18"/>
                <w:szCs w:val="18"/>
              </w:rPr>
              <w:t>(S20/SES5)</w:t>
            </w:r>
          </w:p>
          <w:p w14:paraId="2D68EA9A" w14:textId="77777777" w:rsidR="00DF6235" w:rsidRPr="00AB5795" w:rsidRDefault="00DF6235"/>
        </w:tc>
      </w:tr>
      <w:tr w:rsidR="00DF6235" w:rsidRPr="00AB5795"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AB5795" w:rsidRDefault="00DF6235"/>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8D5D10" w:rsidRDefault="00DF6235">
            <w:pPr>
              <w:pStyle w:val="NormalWeb"/>
              <w:spacing w:before="0" w:beforeAutospacing="0" w:after="240" w:afterAutospacing="0"/>
              <w:textAlignment w:val="baseline"/>
              <w:rPr>
                <w:rFonts w:ascii="PT Sans" w:hAnsi="PT Sans" w:cs="Open Sans"/>
                <w:color w:val="EE0000"/>
                <w:sz w:val="18"/>
                <w:szCs w:val="18"/>
              </w:rPr>
            </w:pPr>
            <w:r w:rsidRPr="007D0097">
              <w:rPr>
                <w:rFonts w:ascii="PT Sans" w:hAnsi="PT Sans" w:cs="Open Sans"/>
                <w:color w:val="000000"/>
                <w:sz w:val="18"/>
                <w:szCs w:val="18"/>
              </w:rPr>
              <w:t xml:space="preserve">Explains how they determine, refine, adapt and use appropriate software engineering methods, approaches and techniques to evaluate software engineering project outcomes. </w:t>
            </w:r>
            <w:r w:rsidRPr="005B3EF4">
              <w:rPr>
                <w:rFonts w:ascii="PT Sans" w:hAnsi="PT San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AB5795" w:rsidRDefault="00DF6235">
            <w:pPr>
              <w:ind w:left="121"/>
            </w:pPr>
            <w:r w:rsidRPr="008D5D10">
              <w:rPr>
                <w:rFonts w:ascii="PT Sans" w:hAnsi="PT Sans" w:cs="Open Sans"/>
                <w:b/>
                <w:bCs/>
                <w:color w:val="000000"/>
                <w:sz w:val="18"/>
                <w:szCs w:val="18"/>
              </w:rPr>
              <w:t>For Distinction:</w:t>
            </w:r>
            <w:r>
              <w:rPr>
                <w:rFonts w:ascii="PT Sans" w:hAnsi="PT Sans" w:cs="Open Sans"/>
                <w:color w:val="000000"/>
                <w:sz w:val="18"/>
                <w:szCs w:val="18"/>
              </w:rPr>
              <w:t xml:space="preserve"> </w:t>
            </w:r>
            <w:r w:rsidRPr="007D0097">
              <w:rPr>
                <w:rFonts w:ascii="PT Sans" w:hAnsi="PT Sans"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5B3EF4">
              <w:rPr>
                <w:rFonts w:ascii="PT Sans" w:hAnsi="PT Sans" w:cs="Open Sans"/>
                <w:color w:val="EE0000"/>
                <w:sz w:val="18"/>
                <w:szCs w:val="18"/>
              </w:rPr>
              <w:t>(S20/SES5)</w:t>
            </w:r>
          </w:p>
        </w:tc>
      </w:tr>
      <w:tr w:rsidR="00DF6235" w:rsidRPr="00AB5795"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890FDF" w:rsidRDefault="00DF6235">
            <w:pPr>
              <w:jc w:val="center"/>
              <w:rPr>
                <w:b/>
                <w:bCs/>
              </w:rPr>
            </w:pPr>
            <w:r w:rsidRPr="00890FDF">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890FDF" w:rsidRDefault="00DF6235">
            <w:pPr>
              <w:jc w:val="center"/>
              <w:rPr>
                <w:b/>
                <w:bCs/>
              </w:rPr>
            </w:pPr>
            <w:r w:rsidRPr="00890FDF">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AB5795" w:rsidRDefault="00DF6235"/>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AB5795" w:rsidRDefault="00DF6235"/>
        </w:tc>
      </w:tr>
    </w:tbl>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77777777"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77777777" w:rsidR="00DF6235" w:rsidRPr="00E77155" w:rsidRDefault="00DF6235">
            <w:pPr>
              <w:spacing w:before="100" w:beforeAutospacing="1" w:after="100" w:afterAutospacing="1" w:line="300" w:lineRule="atLeast"/>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7777777" w:rsidR="00DF6235" w:rsidRPr="00AB5795" w:rsidRDefault="00DF6235">
            <w:r w:rsidRPr="007D0097">
              <w:rPr>
                <w:rFonts w:ascii="PT Sans" w:hAnsi="PT Sans" w:cs="Open Sans"/>
                <w:color w:val="000000"/>
                <w:sz w:val="18"/>
                <w:szCs w:val="18"/>
              </w:rPr>
              <w:t xml:space="preserve">Software Engineer - </w:t>
            </w:r>
            <w:r w:rsidRPr="007D0097">
              <w:rPr>
                <w:rFonts w:ascii="PT Sans" w:hAnsi="PT Sans" w:cs="Open Sans"/>
                <w:color w:val="000000"/>
                <w:sz w:val="18"/>
                <w:szCs w:val="18"/>
              </w:rPr>
              <w:br/>
              <w:t>Legal, Ethics and Landscape</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AB5795" w:rsidRDefault="00DF6235">
            <w:r w:rsidRPr="007D0097">
              <w:rPr>
                <w:rFonts w:ascii="PT Sans" w:hAnsi="PT San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5B3EF4">
              <w:rPr>
                <w:rFonts w:ascii="PT Sans" w:hAnsi="PT Sans" w:cs="Open Sans"/>
                <w:color w:val="EE0000"/>
                <w:sz w:val="18"/>
                <w:szCs w:val="18"/>
              </w:rPr>
              <w:t>(S23/SES8)</w:t>
            </w:r>
          </w:p>
        </w:tc>
      </w:tr>
      <w:tr w:rsidR="00DF6235" w:rsidRPr="00AB5795"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DA7F3B" w:rsidRDefault="00DF6235">
            <w:pPr>
              <w:jc w:val="center"/>
              <w:rPr>
                <w:b/>
                <w:bCs/>
              </w:rPr>
            </w:pPr>
            <w:r w:rsidRPr="00DA7F3B">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AB5795" w:rsidRDefault="00DF6235"/>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AB5795" w:rsidRDefault="00DF6235"/>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377B7" w14:textId="77777777" w:rsidR="00E83116" w:rsidRDefault="00E83116" w:rsidP="00883F39">
      <w:r>
        <w:separator/>
      </w:r>
    </w:p>
  </w:endnote>
  <w:endnote w:type="continuationSeparator" w:id="0">
    <w:p w14:paraId="21A60701" w14:textId="77777777" w:rsidR="00E83116" w:rsidRDefault="00E83116"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EndPr>
      <w:rPr>
        <w:rStyle w:val="PageNumber"/>
      </w:rPr>
    </w:sdtEnd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EndPr>
      <w:rPr>
        <w:rStyle w:val="PageNumber"/>
      </w:rPr>
    </w:sdtEnd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F3082" w14:textId="77777777" w:rsidR="00E83116" w:rsidRDefault="00E83116" w:rsidP="00883F39">
      <w:r>
        <w:separator/>
      </w:r>
    </w:p>
  </w:footnote>
  <w:footnote w:type="continuationSeparator" w:id="0">
    <w:p w14:paraId="03B77390" w14:textId="77777777" w:rsidR="00E83116" w:rsidRDefault="00E83116"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122886"/>
    <w:rsid w:val="001C595A"/>
    <w:rsid w:val="001F698B"/>
    <w:rsid w:val="002502CB"/>
    <w:rsid w:val="00331E62"/>
    <w:rsid w:val="0033336F"/>
    <w:rsid w:val="00343BBF"/>
    <w:rsid w:val="0036559D"/>
    <w:rsid w:val="00375209"/>
    <w:rsid w:val="003A58AC"/>
    <w:rsid w:val="003F0072"/>
    <w:rsid w:val="004C7F53"/>
    <w:rsid w:val="004F2906"/>
    <w:rsid w:val="00557142"/>
    <w:rsid w:val="00592433"/>
    <w:rsid w:val="00594FB8"/>
    <w:rsid w:val="00677658"/>
    <w:rsid w:val="0071389D"/>
    <w:rsid w:val="00735314"/>
    <w:rsid w:val="00757C7B"/>
    <w:rsid w:val="00763A3A"/>
    <w:rsid w:val="00770F2B"/>
    <w:rsid w:val="007922B0"/>
    <w:rsid w:val="00883F39"/>
    <w:rsid w:val="008B7A7C"/>
    <w:rsid w:val="008E6967"/>
    <w:rsid w:val="0094693F"/>
    <w:rsid w:val="009E247E"/>
    <w:rsid w:val="00A04E9B"/>
    <w:rsid w:val="00A80195"/>
    <w:rsid w:val="00BF35C4"/>
    <w:rsid w:val="00C04DA8"/>
    <w:rsid w:val="00C1298F"/>
    <w:rsid w:val="00C91936"/>
    <w:rsid w:val="00CA4997"/>
    <w:rsid w:val="00CB70BF"/>
    <w:rsid w:val="00D42A5A"/>
    <w:rsid w:val="00D75603"/>
    <w:rsid w:val="00DB72F2"/>
    <w:rsid w:val="00DF6235"/>
    <w:rsid w:val="00E03071"/>
    <w:rsid w:val="00E83116"/>
    <w:rsid w:val="00EB2106"/>
    <w:rsid w:val="00F05A72"/>
    <w:rsid w:val="00F32E04"/>
    <w:rsid w:val="00F41D3A"/>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27</cp:revision>
  <dcterms:created xsi:type="dcterms:W3CDTF">2025-08-03T19:25:00Z</dcterms:created>
  <dcterms:modified xsi:type="dcterms:W3CDTF">2025-08-12T13:59:00Z</dcterms:modified>
</cp:coreProperties>
</file>