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der-n0"/>
      <w:r>
        <w:t xml:space="preserve">Group Technology Project COM302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https://learn.solent.ac.uk/course/view.php?id=32686&amp;section=2</w:t>
        </w:r>
      </w:hyperlink>
    </w:p>
    <w:p>
      <w:pPr>
        <w:pStyle w:val="BodyText"/>
      </w:pPr>
      <w:r>
        <w:t xml:space="preserve">BAKER, W.E., 2000. Achieving success through social capital: Tapping hidden resources in your personal and business networks . Jossey-Bass</w:t>
      </w:r>
      <w:r>
        <w:t xml:space="preserve"> </w:t>
      </w:r>
    </w:p>
    <w:p>
      <w:pPr>
        <w:pStyle w:val="BodyText"/>
      </w:pPr>
      <w:r>
        <w:t xml:space="preserve">BYRNE, M. M., 2016. Presentation innovations: Using Pecha Kucha in nursing education.</w:t>
      </w:r>
      <w:r>
        <w:t xml:space="preserve"> </w:t>
      </w:r>
      <w:r>
        <w:rPr>
          <w:i/>
        </w:rPr>
        <w:t xml:space="preserve">Teaching and Learning in Nursing</w:t>
      </w:r>
      <w:r>
        <w:t xml:space="preserve">, 11(1), 20–22</w:t>
      </w:r>
    </w:p>
    <w:p>
      <w:pPr>
        <w:pStyle w:val="BodyText"/>
      </w:pPr>
      <w:r>
        <w:t xml:space="preserve">CHOWDHURY, S. F. and T. A. PYCHYL, 2018. A critique of the construct validity of active procrastination.</w:t>
      </w:r>
      <w:r>
        <w:t xml:space="preserve"> </w:t>
      </w:r>
      <w:r>
        <w:rPr>
          <w:i/>
        </w:rPr>
        <w:t xml:space="preserve">Personality and Individual Differences</w:t>
      </w:r>
      <w:r>
        <w:t xml:space="preserve">, 120, 7–12</w:t>
      </w:r>
    </w:p>
    <w:p>
      <w:pPr>
        <w:pStyle w:val="BodyText"/>
      </w:pPr>
      <w:r>
        <w:t xml:space="preserve">DAVIES, W., 2009. Groupwork as a form of assessment: common problems and recommended solutions.</w:t>
      </w:r>
      <w:r>
        <w:t xml:space="preserve"> </w:t>
      </w:r>
      <w:r>
        <w:rPr>
          <w:i/>
        </w:rPr>
        <w:t xml:space="preserve">Higher Education</w:t>
      </w:r>
      <w:r>
        <w:t xml:space="preserve">, 58(4), 563–584</w:t>
      </w:r>
    </w:p>
    <w:p>
      <w:pPr>
        <w:pStyle w:val="BodyText"/>
      </w:pPr>
      <w:r>
        <w:t xml:space="preserve">DWECK, C. S., 2000.</w:t>
      </w:r>
      <w:r>
        <w:t xml:space="preserve"> </w:t>
      </w:r>
      <w:r>
        <w:rPr>
          <w:i/>
        </w:rPr>
        <w:t xml:space="preserve">Self-theories : their role in motivation, personality and development</w:t>
      </w:r>
      <w:r>
        <w:t xml:space="preserve">. Philadelphia, PA: Psychology Press</w:t>
      </w:r>
    </w:p>
    <w:p>
      <w:pPr>
        <w:pStyle w:val="BodyText"/>
      </w:pPr>
      <w:r>
        <w:t xml:space="preserve">KRUGER, J. and D. DUNNING, 1999. Unskilled and Unaware of It: How Difficulties in Recognizing One's Own Incompetence Lead to Inflated Self-Assessments. Journal of personality and social psychology, 77(6), 1121-1134</w:t>
      </w:r>
    </w:p>
    <w:p>
      <w:pPr>
        <w:pStyle w:val="BodyText"/>
      </w:pPr>
      <w:r>
        <w:t xml:space="preserve">FURNHAM, A. and I. MACRAE, 2017. Motivation and performance : a guide to motivating a diverse workforce. London: Kogan Page</w:t>
      </w:r>
    </w:p>
    <w:p>
      <w:pPr>
        <w:pStyle w:val="BodyText"/>
      </w:pPr>
      <w:r>
        <w:t xml:space="preserve">KONAK, A., T. K. CLARK and M. NASEREDDIN, 2014. Using Kolb’s Experiential Learning Cycle to improve student learning in virtual computer laboratories.</w:t>
      </w:r>
      <w:r>
        <w:t xml:space="preserve"> </w:t>
      </w:r>
      <w:r>
        <w:rPr>
          <w:i/>
        </w:rPr>
        <w:t xml:space="preserve">Computers &amp; Education</w:t>
      </w:r>
      <w:r>
        <w:t xml:space="preserve">, 72</w:t>
      </w:r>
    </w:p>
    <w:p>
      <w:pPr>
        <w:pStyle w:val="BodyText"/>
      </w:pPr>
      <w:r>
        <w:t xml:space="preserve">KNAPP, J., J. ZERATSKY and B. KOWITZ, 2016. Sprint: how to solve big problems and test new ideas in just five days. London: Bantam Press</w:t>
      </w:r>
    </w:p>
    <w:p>
      <w:pPr>
        <w:pStyle w:val="BodyText"/>
      </w:pPr>
      <w:r>
        <w:t xml:space="preserve">MEYER, J.H.F. and R. LAND, 2005. Threshold Concepts and Troublesome Knowledge (2): Epistemological Considerations and a Conceptual Framework for Teaching and Learning. Higher Education: The International Journal of Higher Education and Educational Planning, 49(3), 373-388</w:t>
      </w:r>
    </w:p>
    <w:p>
      <w:pPr>
        <w:pStyle w:val="BodyText"/>
      </w:pPr>
      <w:r>
        <w:t xml:space="preserve">SUNSTEIN, C. and THALER, R. 2009. Nudge: Improving decisions about health, wealth and happiness. London: Penguin Books.</w:t>
      </w:r>
    </w:p>
    <w:p>
      <w:pPr>
        <w:pStyle w:val="BodyText"/>
      </w:pPr>
      <w:r>
        <w:t xml:space="preserve">TUCKMAN, B. and M. JENSEN, 2010. Stages of Small-Group Development Revisited1.</w:t>
      </w:r>
      <w:r>
        <w:t xml:space="preserve"> </w:t>
      </w:r>
      <w:r>
        <w:rPr>
          <w:i/>
        </w:rPr>
        <w:t xml:space="preserve">Group Facilitation</w:t>
      </w:r>
      <w:r>
        <w:t xml:space="preserve">, (10), 43–48</w:t>
      </w:r>
    </w:p>
    <w:p>
      <w:pPr>
        <w:pStyle w:val="BodyText"/>
      </w:pPr>
      <w:r>
        <w:t xml:space="preserve">ZAITSEVA, E., C. MILSOM and M. STEWART, 2013. Connecting the dots: using concept maps for interpreting student satisfaction.</w:t>
      </w:r>
      <w:r>
        <w:t xml:space="preserve"> </w:t>
      </w:r>
      <w:r>
        <w:rPr>
          <w:i/>
        </w:rPr>
        <w:t xml:space="preserve">Quality in Higher Education</w:t>
      </w:r>
      <w:r>
        <w:t xml:space="preserve">, 19(2), 225–247</w:t>
      </w:r>
    </w:p>
    <w:p>
      <w:pPr>
        <w:pStyle w:val="Heading2"/>
      </w:pPr>
      <w:bookmarkStart w:id="22" w:name="header-n24"/>
      <w:r>
        <w:t xml:space="preserve">Study Skills</w:t>
      </w:r>
      <w:bookmarkEnd w:id="22"/>
    </w:p>
    <w:p>
      <w:pPr>
        <w:pStyle w:val="FirstParagraph"/>
      </w:pPr>
      <w:r>
        <w:t xml:space="preserve">BASSOT, B., 2016. The reflective journal. 2nd ed. London: Palgrave</w:t>
      </w:r>
    </w:p>
    <w:p>
      <w:pPr>
        <w:pStyle w:val="BodyText"/>
      </w:pPr>
      <w:r>
        <w:t xml:space="preserve">BECKER, L.M. and J. VAN EMDEN, 2016. Presentation skills for students. 3rd ed. London: Palgrave</w:t>
      </w:r>
    </w:p>
    <w:p>
      <w:pPr>
        <w:pStyle w:val="BodyText"/>
      </w:pPr>
      <w:r>
        <w:t xml:space="preserve">DAVIES, W.M., 2009. Groupwork as a Form of Assessment: Common Problems and Recommended Solutions. Higher Education: The International Journal of Higher Education and Educational Planning, 58(4), 563-584</w:t>
      </w:r>
    </w:p>
    <w:p>
      <w:pPr>
        <w:pStyle w:val="BodyText"/>
      </w:pPr>
      <w:r>
        <w:t xml:space="preserve">FOWLIE, J. and B. SMALE, 2015. How to succeed at university : an essential guide to academic skills, personal development and employability. 2nd ed. London: SAGE</w:t>
      </w:r>
    </w:p>
    <w:p>
      <w:pPr>
        <w:pStyle w:val="BodyText"/>
      </w:pPr>
      <w:r>
        <w:t xml:space="preserve">GREETHAM, B., 2013. How to write better essays. 3rd ed. Basingstoke: Palgrave</w:t>
      </w:r>
    </w:p>
    <w:p>
      <w:pPr>
        <w:pStyle w:val="BodyText"/>
      </w:pPr>
      <w:r>
        <w:t xml:space="preserve">HOGAN, L. 2016. Demystifying Public Speaking. New York: A Book Apart.</w:t>
      </w:r>
    </w:p>
    <w:p>
      <w:pPr>
        <w:pStyle w:val="BodyText"/>
      </w:pPr>
      <w:r>
        <w:t xml:space="preserve">LEDDEN, E., 2017. The presentation book : how to create it, shape it and deliver it! 2nd ed. Harlow: Pearson Education</w:t>
      </w:r>
    </w:p>
    <w:p>
      <w:pPr>
        <w:pStyle w:val="BodyText"/>
      </w:pPr>
      <w:r>
        <w:t xml:space="preserve">SHIELDS, G.J. and R. PEARS, 2016. Cite them right : the essential referencing guide. 10th ed. London: Palgrave</w:t>
      </w:r>
    </w:p>
    <w:p>
      <w:pPr>
        <w:pStyle w:val="BodyText"/>
      </w:pPr>
      <w:r>
        <w:t xml:space="preserve">WEYERS, J.D.B. and K. MCMILLAN, 2014. How to write for university. Harlow, England: Pearson; Pearson</w:t>
      </w:r>
    </w:p>
    <w:p>
      <w:pPr>
        <w:pStyle w:val="BodyText"/>
      </w:pPr>
      <w:r>
        <w:t xml:space="preserve">WILLIAMS, K. and M. DAVIS, 2017.</w:t>
      </w:r>
      <w:r>
        <w:t xml:space="preserve"> </w:t>
      </w:r>
      <w:r>
        <w:rPr>
          <w:i/>
        </w:rPr>
        <w:t xml:space="preserve">Referencing and Understanding Plagiarism</w:t>
      </w:r>
      <w:r>
        <w:t xml:space="preserve">. 2nd ed. 2018 edition. Oxford s.l: Palgrave</w:t>
      </w:r>
    </w:p>
    <w:p>
      <w:pPr>
        <w:pStyle w:val="BodyText"/>
      </w:pPr>
      <w:r>
        <w:t xml:space="preserve">WOOLLIAMS, M., J. SPIRO and K. WILLIAMS, 2012. Reflective writing. Basingstoke: Palgrave Macmillan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32686&amp;section=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32686&amp;section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2019-07-26T13:16:15Z</dcterms:created>
  <dcterms:modified xsi:type="dcterms:W3CDTF">2019-07-26T13:16:15Z</dcterms:modified>
</cp:coreProperties>
</file>