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D0D0D"/>
          <w:sz w:val="40"/>
          <w:szCs w:val="40"/>
        </w:rPr>
        <w:t xml:space="preserve">MORGLOW AI</w:t>
      </w:r>
    </w:p>
    <w:p>
      <w:pPr>
        <w:spacing w:after="40"/>
        <w:jc w:val="center"/>
      </w:pPr>
      <w:r>
        <w:rPr>
          <w:b/>
          <w:bCs/>
          <w:color w:val="B8902E"/>
          <w:sz w:val="26"/>
          <w:szCs w:val="26"/>
        </w:rPr>
        <w:t xml:space="preserve">Adendo à Especificação Funcional v4.0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Configuração de Cobrança de Simulação — Modelo de Monetização Flexível</w:t>
      </w:r>
    </w:p>
    <w:p>
      <w:pPr>
        <w:pBdr>
          <w:bottom w:val="single" w:color="B8902E" w:sz="6" w:space="1"/>
        </w:pBdr>
        <w:spacing w:after="200" w:before="100"/>
      </w:pPr>
    </w:p>
    <w:p>
      <w:pPr>
        <w:pStyle w:val="Heading1"/>
      </w:pPr>
      <w:r>
        <w:t xml:space="preserve">1. Contexto e Objetivo</w:t>
      </w:r>
    </w:p>
    <w:p>
      <w:pPr>
        <w:spacing w:after="160"/>
      </w:pPr>
      <w:r>
        <w:t xml:space="preserve">Este documento complementa o Guia de Prototipação v4.0 e descreve uma nova capacidade de configuração para a conta do salão (tenant): a possibilidade de o estabelecimento escolher se a simulação gerada pela IA é oferecida como cortesia ao cliente final ou cobrada como um serviço à parte.</w:t>
      </w:r>
    </w:p>
    <w:p>
      <w:pPr>
        <w:spacing w:after="160"/>
      </w:pPr>
      <w:r>
        <w:t xml:space="preserve">A motivação é estratégica: a simulação deixa de ser percebida como um custo fixo da assinatura e passa a ser, opcionalmente, uma fonte direta de receita para o salão — o que reduz a fricção de adoção e fortalece o argumento comercial de que “a ferramenta se paga sozinha”.</w:t>
      </w:r>
    </w:p>
    <w:p>
      <w:pPr>
        <w:spacing w:after="160"/>
      </w:pPr>
      <w:r>
        <w:t xml:space="preserve">Este adendo não substitui o documento v4.0; deve ser lido em conjunto com ele, especialmente as seções de Personas, Modelo de Dados e a especificação da Tela de Resultado/Geração.</w:t>
      </w:r>
    </w:p>
    <w:p>
      <w:pPr>
        <w:pStyle w:val="Heading1"/>
      </w:pPr>
      <w:r>
        <w:t xml:space="preserve">2. Persona Afetada</w:t>
      </w:r>
    </w:p>
    <w:p>
      <w:pPr>
        <w:pStyle w:val="Heading2"/>
      </w:pPr>
      <w:r>
        <w:t xml:space="preserve">Administrador do salão</w:t>
      </w:r>
    </w:p>
    <w:p>
      <w:pPr>
        <w:spacing w:after="160"/>
      </w:pPr>
      <w:r>
        <w:t xml:space="preserve">Além das responsabilidades já descritas no v4.0 (cadastro da conta, catálogo de serviços/preços, convite de profissionais, métricas de uso), o administrador passa a controlar também o modelo de cobrança da simulação de IA para o seu estabelecimento.</w:t>
      </w:r>
    </w:p>
    <w:p>
      <w:pPr>
        <w:pStyle w:val="Heading1"/>
      </w:pPr>
      <w:r>
        <w:t xml:space="preserve">3. Nova Funcionalidade — Configuração de Cobrança de Simulação</w:t>
      </w:r>
    </w:p>
    <w:p>
      <w:pPr>
        <w:spacing w:after="160"/>
      </w:pPr>
      <w:r>
        <w:t xml:space="preserve">Localização sugerida: dentro da área de Configurações da Conta (ou tela equivalente de administração do salão), como uma nova subseção.</w:t>
      </w:r>
    </w:p>
    <w:p>
      <w:pPr>
        <w:spacing w:after="60" w:before="160"/>
      </w:pPr>
      <w:r>
        <w:rPr>
          <w:b/>
          <w:bCs/>
          <w:color w:val="B8902E"/>
          <w:sz w:val="20"/>
          <w:szCs w:val="20"/>
        </w:rPr>
        <w:t xml:space="preserve">OBJETIVO</w:t>
      </w:r>
    </w:p>
    <w:p>
      <w:pPr>
        <w:spacing w:after="160"/>
      </w:pPr>
      <w:r>
        <w:t xml:space="preserve">Permitir que o administrador do salão escolha, a qualquer momento, entre dois modelos de uso da simulação de IA para os clientes finais do estabelecimento, podendo alternar entre eles livremente.</w:t>
      </w:r>
    </w:p>
    <w:p>
      <w:pPr>
        <w:spacing w:after="60" w:before="160"/>
      </w:pPr>
      <w:r>
        <w:rPr>
          <w:b/>
          <w:bCs/>
          <w:color w:val="B8902E"/>
          <w:sz w:val="20"/>
          <w:szCs w:val="20"/>
        </w:rPr>
        <w:t xml:space="preserve">ELEMENTOS DA TELA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Seletor (toggle) com duas opções mutuamente exclusivas: “Cortesia” e “Serviço Pago”.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Quando “Serviço Pago” estiver selecionado, exibir campo numérico “Valor por simulação (R$)”, editável pelo administrador.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Texto de apoio explicando cada opção (ex.: “Cortesia: a simulação é gratuita para o cliente e funciona como ferramenta de venda” / “Serviço Pago: o cliente paga pela simulação como um serviço à parte”).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“Salvar alterações”, com confirmação visual de sucesso.</w:t>
      </w:r>
    </w:p>
    <w:p>
      <w:pPr>
        <w:spacing w:after="60" w:before="160"/>
      </w:pPr>
      <w:r>
        <w:rPr>
          <w:b/>
          <w:bCs/>
          <w:color w:val="B8902E"/>
          <w:sz w:val="20"/>
          <w:szCs w:val="20"/>
        </w:rPr>
        <w:t xml:space="preserve">FLUXO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Administrador acessa Configurações → Cobrança de Simulação.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Seleciona o modelo desejado (Cortesia ou Serviço Pago).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Serviço Pago, informa o valor cobrado por simulação.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Salva a configuração — passa a valer imediatamente para todos os profissionais vinculados ao salão.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Configuração pode ser alterada novamente a qualquer momento, sem limite de trocas.</w:t>
      </w:r>
    </w:p>
    <w:p>
      <w:pPr>
        <w:spacing w:after="60" w:before="160"/>
      </w:pPr>
      <w:r>
        <w:rPr>
          <w:b/>
          <w:bCs/>
          <w:color w:val="B8902E"/>
          <w:sz w:val="20"/>
          <w:szCs w:val="20"/>
        </w:rPr>
        <w:t xml:space="preserve">REGRAS DE NEGÓCIO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Configuração é por salão (tenant), nunca por profissional individual — garante consistência de precificação dentro do mesmo estabelecimento.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Valor padrão de fábrica (default) ao criar uma nova conta: “Cortesia” — evita fricção de configuração obrigatória no onboarding.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“Serviço Pago” estiver ativo e o valor não for informado, o sistema deve bloquear o salvamento e solicitar o preenchimento do valor.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alteração do modelo não afeta retroativamente atendimentos já registrados — vale apenas para novas simulações a partir do momento da mudança.</w:t>
      </w:r>
    </w:p>
    <w:p>
      <w:pPr>
        <w:spacing w:after="60" w:before="160"/>
      </w:pPr>
      <w:r>
        <w:rPr>
          <w:b/>
          <w:bCs/>
          <w:color w:val="B8902E"/>
          <w:sz w:val="20"/>
          <w:szCs w:val="20"/>
        </w:rPr>
        <w:t xml:space="preserve">DADOS ENVOLVIDOS</w:t>
      </w:r>
    </w:p>
    <w:p>
      <w:pPr>
        <w:spacing w:after="160"/>
      </w:pPr>
      <w:r>
        <w:t xml:space="preserve">Entidade Salão (tenant), campo de configuração de cobrança.</w:t>
      </w:r>
    </w:p>
    <w:p>
      <w:pPr>
        <w:pStyle w:val="Heading1"/>
      </w:pPr>
      <w:r>
        <w:t xml:space="preserve">4. Impacto no Fluxo de Geração (Tela de Resultado)</w:t>
      </w:r>
    </w:p>
    <w:p>
      <w:pPr>
        <w:spacing w:after="160"/>
      </w:pPr>
      <w:r>
        <w:t xml:space="preserve">A tela onde o resultado da simulação é exibido ao profissional/cliente (já especificada no v4.0) precisa refletir a configuração de cobrança ativa no momento do atendimento: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o salão estiver no modelo Cortesia: nenhuma alteração visual ou de fluxo é necessária.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o salão estiver no modelo Serviço Pago: a tela de resultado exibe o valor da simulação a ser cobrado do cliente, e o valor é automaticamente somado ao registro do atendimento (comanda), permitindo que o profissional cobre junto com os demais serviços.</w:t>
      </w:r>
    </w:p>
    <w:p>
      <w:pPr>
        <w:spacing w:after="160"/>
      </w:pPr>
      <w:r>
        <w:t xml:space="preserve">Recomenda-se que esse valor entre no relatório de métricas do salão como uma linha separada (“Receita de simulações”), distinta da receita de serviços tradicionais, para que o dono do salão visualize claramente o retorno gerado pela ferramenta.</w:t>
      </w:r>
    </w:p>
    <w:p>
      <w:pPr>
        <w:pStyle w:val="Heading1"/>
      </w:pPr>
      <w:r>
        <w:t xml:space="preserve">5. Atualização do Modelo de Dados</w:t>
      </w:r>
    </w:p>
    <w:p>
      <w:pPr>
        <w:spacing w:after="160"/>
      </w:pPr>
      <w:r>
        <w:t xml:space="preserve">Campos a serem adicionados às entidades já existentes no v4.0: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Entidade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Campo novo / Descrição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Salão (tenant)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tipo_cobranca_simulacao — enum: “cortesia” | “pago”. Default: “cortesia”.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Salão (tenant)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valor_simulacao — decimal, nulo se tipo_cobranca_simulacao = “cortesia”.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Atendimento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simulacao_cobrada — booleano, indica se aquele atendimento específico gerou cobrança de simulação.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F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Atendimento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valor_simulacao_cobrado — decimal, valor efetivamente cobrado naquele atendimento (snapshot do valor configurado no momento).</w:t>
            </w:r>
          </w:p>
        </w:tc>
      </w:tr>
    </w:tbl>
    <w:p>
      <w:pPr>
        <w:pStyle w:val="Heading1"/>
      </w:pPr>
      <w:r>
        <w:t xml:space="preserve">6. Observação Final</w:t>
      </w:r>
    </w:p>
    <w:p>
      <w:pPr>
        <w:spacing w:after="160"/>
      </w:pPr>
      <w:r>
        <w:t xml:space="preserve">Esta funcionalidade é de baixa complexidade técnica (um campo de configuração + uma exibição condicional na tela de resultado), mas tem alto impacto comercial — é o que transforma o argumento de venda de “gaste X por mês” para “a ferramenta se paga sozinha, e você escolhe como”. Recomenda-se priorizá-la ainda na primeira fase de construção do MVP.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6"/>
        <w:szCs w:val="16"/>
      </w:rPr>
      <w:t xml:space="preserve">Documento Interno — Junho 2026</w:t>
    </w:r>
    <w:r>
      <w:rPr>
        <w:color w:val="555555"/>
        <w:sz w:val="16"/>
        <w:szCs w:val="16"/>
      </w:rPr>
      <w:t xml:space="preserve">	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b/>
        <w:bCs/>
        <w:color w:val="0D0D0D"/>
        <w:sz w:val="18"/>
        <w:szCs w:val="18"/>
      </w:rPr>
      <w:t xml:space="preserve">MORGLOW AI</w:t>
    </w:r>
    <w:r>
      <w:rPr>
        <w:color w:val="555555"/>
        <w:sz w:val="16"/>
        <w:szCs w:val="16"/>
      </w:rPr>
      <w:t xml:space="preserve">	Adendo à Especificação Funcional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902E" w:sz="8" w:space="4"/>
      </w:pBdr>
      <w:spacing w:after="160" w:before="320"/>
      <w:outlineLvl w:val="0"/>
    </w:pPr>
    <w:rPr>
      <w:rFonts w:ascii="Calibri" w:cs="Calibri" w:eastAsia="Calibri" w:hAnsi="Calibri"/>
      <w:b/>
      <w:bCs/>
      <w:color w:val="0D0D0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B890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2026-06-19T12:31:05.761Z</dcterms:created>
  <dcterms:modified xsi:type="dcterms:W3CDTF">2026-06-19T12:31:05.761Z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