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D">
    <w:pPr>
      <w:pageBreakBefore w:val="0"/>
      <w:rPr>
        <w:rFonts w:ascii="Montserrat" w:cs="Montserrat" w:eastAsia="Montserrat" w:hAnsi="Montserrat"/>
        <w:color w:val="253371"/>
        <w:sz w:val="16"/>
        <w:szCs w:val="16"/>
      </w:rPr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25337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ontserrat" w:cs="Montserrat" w:eastAsia="Montserrat" w:hAnsi="Montserrat"/>
        <w:b w:val="1"/>
        <w:bCs w:val="1"/>
        <w:color w:val="253371"/>
        <w:sz w:val="16"/>
        <w:szCs w:val="16"/>
        <w:rtl w:val="0"/>
      </w:rPr>
      <w:t xml:space="preserve">     </w:t>
    </w:r>
    <w:r w:rsidDel="00000000" w:rsidR="00000000" w:rsidRPr="00000000">
      <w:rPr>
        <w:rFonts w:ascii="Montserrat" w:cs="Montserrat" w:eastAsia="Montserrat" w:hAnsi="Montserrat"/>
        <w:sz w:val="16"/>
        <w:szCs w:val="16"/>
        <w:rtl w:val="0"/>
      </w:rPr>
      <w:t xml:space="preserve">             Profesionální realitní marketing a makléř, na kterého se můžete spolehnout  | </w:t>
    </w:r>
    <w:r w:rsidDel="00000000" w:rsidR="00000000" w:rsidRPr="00000000">
      <w:rPr>
        <w:rFonts w:ascii="Montserrat" w:cs="Montserrat" w:eastAsia="Montserrat" w:hAnsi="Montserrat"/>
        <w:color w:val="253371"/>
        <w:sz w:val="16"/>
        <w:szCs w:val="16"/>
        <w:rtl w:val="0"/>
      </w:rPr>
      <w:t xml:space="preserve"> </w:t>
    </w:r>
    <w:r w:rsidDel="00000000" w:rsidR="00000000" w:rsidRPr="00000000">
      <w:rPr>
        <w:rFonts w:ascii="Montserrat" w:cs="Montserrat" w:eastAsia="Montserrat" w:hAnsi="Montserrat"/>
        <w:b w:val="1"/>
        <w:bCs w:val="1"/>
        <w:color w:val="253371"/>
        <w:sz w:val="16"/>
        <w:szCs w:val="16"/>
        <w:rtl w:val="0"/>
      </w:rPr>
      <w:t xml:space="preserve">www.martintesarek.cz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/>
      <w:drawing>
        <wp:inline distB="114300" distT="114300" distL="114300" distR="114300">
          <wp:extent cx="2229908" cy="3667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29908" cy="3667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3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4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5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