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Diagramas del Minimarket – Proyecto PPV</w:t>
      </w:r>
    </w:p>
    <w:p>
      <w:pPr>
        <w:pStyle w:val="Heading1"/>
      </w:pPr>
      <w:r>
        <w:t>1. Plano de Ubicación</w:t>
      </w:r>
    </w:p>
    <w:p>
      <w:r>
        <w:t>El siguiente plano muestra la organización general del minimarket: caja en la entrada, góndolas centrales, heladeras al fondo y un pequeño depósito de almacenamiento.</w:t>
      </w:r>
    </w:p>
    <w:p>
      <w:r>
        <w:drawing>
          <wp:inline xmlns:a="http://schemas.openxmlformats.org/drawingml/2006/main" xmlns:pic="http://schemas.openxmlformats.org/drawingml/2006/picture">
            <wp:extent cx="5029200" cy="5484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o_minimar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84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Diagrama de Instalaciones</w:t>
      </w:r>
    </w:p>
    <w:p>
      <w:r>
        <w:t>El sistema informático del minimarket se compone de una PC de caja conectada a la impresora de tickets y a la base de datos (SQL Server o SQLite). Además, puede integrarse una balanza electrónica y realizar copias de seguridad mediante un router con acceso a Internet.</w:t>
      </w:r>
    </w:p>
    <w:p>
      <w:r>
        <w:drawing>
          <wp:inline xmlns:a="http://schemas.openxmlformats.org/drawingml/2006/main" xmlns:pic="http://schemas.openxmlformats.org/drawingml/2006/picture">
            <wp:extent cx="5029200" cy="1126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aciones_minimark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26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Organigrama del Minimarket</w:t>
      </w:r>
    </w:p>
    <w:p>
      <w:r>
        <w:t>La estructura organizacional es sencilla: el propietario coordina las tareas del cajero, el repositor y, en caso de corresponder, un encargado de proveedores.</w:t>
      </w:r>
    </w:p>
    <w:p>
      <w:r>
        <w:drawing>
          <wp:inline xmlns:a="http://schemas.openxmlformats.org/drawingml/2006/main" xmlns:pic="http://schemas.openxmlformats.org/drawingml/2006/picture">
            <wp:extent cx="4114800" cy="6143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grama_minimark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143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