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5 · REPRODUCIBILIDAD EN ML</w:t>
      </w:r>
    </w:p>
    <w:p>
      <w:pPr>
        <w:pStyle w:val="Subtitle"/>
      </w:pPr>
      <w:r>
        <w:t>Informe académico del repositorio experimental · evidencia, controles y prueba del extraño</w:t>
      </w:r>
    </w:p>
    <w:p>
      <w:r>
        <w:t>Curso: Research Methods &amp; Scientific Integrity in AI | Docente: Dra. Loveleen Gaur</w:t>
      </w:r>
    </w:p>
    <w:p>
      <w:r>
        <w:t>Doctorando: Martín Vásquez Rubio | Fecha: 24 de octubre de 2026</w:t>
      </w:r>
    </w:p>
    <w:p>
      <w:r>
        <w:t>Línea doctoral: Marco de optimización productiva asistido por IA en agricultura minifundista de Chota, Cajamarca.</w:t>
      </w:r>
    </w:p>
    <w:p>
      <w:r>
        <w:t>Criterio de rigor: se distingue contenido docente, explicación pedagógica y aplicación propuesta. No se inventan resultados agrícolas ni verificaciones no ejecutadas.</w:t>
      </w:r>
    </w:p>
    <w:p>
      <w:pPr>
        <w:pStyle w:val="Heading1"/>
      </w:pPr>
      <w:r>
        <w:t>1. Propósito y continuidad doctoral</w:t>
      </w:r>
    </w:p>
    <w:p>
      <w:r>
        <w:t>Los Entregables 1–4 delimitaron el problema del minifundismo, justificaron un paradigma pragmático, seleccionaron Ciencia del Diseño con enfoque mixto secuencial explicativo, estructuraron el protocolo y propusieron su base bibliográfica. Este quinto entregable añade un requisito diferente: que los resultados algorítmicos puedan recuperarse mediante artefactos versionados.</w:t>
      </w:r>
    </w:p>
    <w:p>
      <w:pPr>
        <w:pStyle w:val="Heading1"/>
      </w:pPr>
      <w:r>
        <w:t>2. Producto solicitado por la docente</w:t>
      </w:r>
    </w:p>
    <w:p>
      <w:r>
        <w:t>Sesión 5, diapositiva 40: entregar UN ENLACE de GitHub por Moodle. El repositorio debe demostrar: (1) seis o más commits significativos; (2) dataset en DVC y remoto accesible; (3) dos ejecuciones con misma semilla y resultado idéntico; (4) media y desviación estándar de cinco o más semillas registradas en MLflow; (5) dependencias directas fijadas y Dockerfile coherente con Python; (6) reproducción independiente siguiendo únicamente el README.</w:t>
      </w:r>
    </w:p>
    <w:p>
      <w:pPr>
        <w:pStyle w:val="Heading1"/>
      </w:pPr>
      <w:r>
        <w:t>3. Alcance de la demostración experimental</w:t>
      </w:r>
    </w:p>
    <w:p>
      <w:r>
        <w:t>Se preparó un repositorio didáctico basado en el dataset público Wisconsin Diagnostic Breast Cancer. El experimento prueba prácticas computacionales, NO el marco de optimización agrícola y NO constituye evidencia sobre ingresos netos de agricultores. Se emplea un modelo base de regresión logística con Pipeline para evitar fuga de preprocesamiento.</w:t>
      </w:r>
    </w:p>
    <w:p>
      <w:pPr>
        <w:pStyle w:val="Heading1"/>
      </w:pPr>
      <w:r>
        <w:t>4. Material disponible y estado comprobado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Criterio</w:t>
            </w:r>
          </w:p>
        </w:tc>
        <w:tc>
          <w:tcPr>
            <w:tcW w:type="dxa" w:w="3331"/>
          </w:tcPr>
          <w:p>
            <w:r>
              <w:t>Estado</w:t>
            </w:r>
          </w:p>
        </w:tc>
        <w:tc>
          <w:tcPr>
            <w:tcW w:type="dxa" w:w="3331"/>
          </w:tcPr>
          <w:p>
            <w:r>
              <w:t>Evidencia o acción pendiente</w:t>
            </w:r>
          </w:p>
        </w:tc>
      </w:tr>
      <w:tr>
        <w:tc>
          <w:tcPr>
            <w:tcW w:type="dxa" w:w="3331"/>
          </w:tcPr>
          <w:p>
            <w:r>
              <w:t>Git, seis commits</w:t>
            </w:r>
          </w:p>
        </w:tc>
        <w:tc>
          <w:tcPr>
            <w:tcW w:type="dxa" w:w="3331"/>
          </w:tcPr>
          <w:p>
            <w:r>
              <w:t>Verificado localmente</w:t>
            </w:r>
          </w:p>
        </w:tc>
        <w:tc>
          <w:tcPr>
            <w:tcW w:type="dxa" w:w="3331"/>
          </w:tcPr>
          <w:p>
            <w:r>
              <w:t>Historial incluido en repositorio ZIP</w:t>
            </w:r>
          </w:p>
        </w:tc>
      </w:tr>
      <w:tr>
        <w:tc>
          <w:tcPr>
            <w:tcW w:type="dxa" w:w="3331"/>
          </w:tcPr>
          <w:p>
            <w:r>
              <w:t>Misma semilla, dos ejecuciones</w:t>
            </w:r>
          </w:p>
        </w:tc>
        <w:tc>
          <w:tcPr>
            <w:tcW w:type="dxa" w:w="3331"/>
          </w:tcPr>
          <w:p>
            <w:r>
              <w:t>Verificado localmente</w:t>
            </w:r>
          </w:p>
        </w:tc>
        <w:tc>
          <w:tcPr>
            <w:tcW w:type="dxa" w:w="3331"/>
          </w:tcPr>
          <w:p>
            <w:r>
              <w:t>Dos ejecuciones coincidentes, según registro de preparación</w:t>
            </w:r>
          </w:p>
        </w:tc>
      </w:tr>
      <w:tr>
        <w:tc>
          <w:tcPr>
            <w:tcW w:type="dxa" w:w="3331"/>
          </w:tcPr>
          <w:p>
            <w:r>
              <w:t>Siete semillas y estadísticos</w:t>
            </w:r>
          </w:p>
        </w:tc>
        <w:tc>
          <w:tcPr>
            <w:tcW w:type="dxa" w:w="3331"/>
          </w:tcPr>
          <w:p>
            <w:r>
              <w:t>Parcial</w:t>
            </w:r>
          </w:p>
        </w:tc>
        <w:tc>
          <w:tcPr>
            <w:tcW w:type="dxa" w:w="3331"/>
          </w:tcPr>
          <w:p>
            <w:r>
              <w:t>Métricas en CSV; no verificado el registro en MLflow</w:t>
            </w:r>
          </w:p>
        </w:tc>
      </w:tr>
      <w:tr>
        <w:tc>
          <w:tcPr>
            <w:tcW w:type="dxa" w:w="3331"/>
          </w:tcPr>
          <w:p>
            <w:r>
              <w:t>DVC y remoto</w:t>
            </w:r>
          </w:p>
        </w:tc>
        <w:tc>
          <w:tcPr>
            <w:tcW w:type="dxa" w:w="3331"/>
          </w:tcPr>
          <w:p>
            <w:r>
              <w:t>Pendiente</w:t>
            </w:r>
          </w:p>
        </w:tc>
        <w:tc>
          <w:tcPr>
            <w:tcW w:type="dxa" w:w="3331"/>
          </w:tcPr>
          <w:p>
            <w:r>
              <w:t>Configurar remoto, subir y probar dvc pull</w:t>
            </w:r>
          </w:p>
        </w:tc>
      </w:tr>
      <w:tr>
        <w:tc>
          <w:tcPr>
            <w:tcW w:type="dxa" w:w="3331"/>
          </w:tcPr>
          <w:p>
            <w:r>
              <w:t>Dependencias y Docker</w:t>
            </w:r>
          </w:p>
        </w:tc>
        <w:tc>
          <w:tcPr>
            <w:tcW w:type="dxa" w:w="3331"/>
          </w:tcPr>
          <w:p>
            <w:r>
              <w:t>Parcial</w:t>
            </w:r>
          </w:p>
        </w:tc>
        <w:tc>
          <w:tcPr>
            <w:tcW w:type="dxa" w:w="3331"/>
          </w:tcPr>
          <w:p>
            <w:r>
              <w:t>Archivos presentes; probar instalación limpia</w:t>
            </w:r>
          </w:p>
        </w:tc>
      </w:tr>
      <w:tr>
        <w:tc>
          <w:tcPr>
            <w:tcW w:type="dxa" w:w="3331"/>
          </w:tcPr>
          <w:p>
            <w:r>
              <w:t>Prueba del extraño</w:t>
            </w:r>
          </w:p>
        </w:tc>
        <w:tc>
          <w:tcPr>
            <w:tcW w:type="dxa" w:w="3331"/>
          </w:tcPr>
          <w:p>
            <w:r>
              <w:t>Pendiente</w:t>
            </w:r>
          </w:p>
        </w:tc>
        <w:tc>
          <w:tcPr>
            <w:tcW w:type="dxa" w:w="3331"/>
          </w:tcPr>
          <w:p>
            <w:r>
              <w:t>Clonar en entorno nuevo y seguir README sin asistencia</w:t>
            </w:r>
          </w:p>
        </w:tc>
      </w:tr>
      <w:tr>
        <w:tc>
          <w:tcPr>
            <w:tcW w:type="dxa" w:w="3331"/>
          </w:tcPr>
          <w:p>
            <w:r>
              <w:t>Enlace GitHub/Moodle</w:t>
            </w:r>
          </w:p>
        </w:tc>
        <w:tc>
          <w:tcPr>
            <w:tcW w:type="dxa" w:w="3331"/>
          </w:tcPr>
          <w:p>
            <w:r>
              <w:t>Pendiente</w:t>
            </w:r>
          </w:p>
        </w:tc>
        <w:tc>
          <w:tcPr>
            <w:tcW w:type="dxa" w:w="3331"/>
          </w:tcPr>
          <w:p>
            <w:r>
              <w:t>Publicación y envío requieren acción autorizada del estudiante</w:t>
            </w:r>
          </w:p>
        </w:tc>
      </w:tr>
    </w:tbl>
    <w:p>
      <w:pPr>
        <w:pStyle w:val="Heading1"/>
      </w:pPr>
      <w:r>
        <w:t>5. Procedimiento experimental y controles</w:t>
      </w:r>
    </w:p>
    <w:p>
      <w:pPr>
        <w:pStyle w:val="Heading2"/>
      </w:pPr>
      <w:r>
        <w:t>5.1 Partición y fuga de datos</w:t>
      </w:r>
    </w:p>
    <w:p>
      <w:r>
        <w:t>Separar entrenamiento y prueba antes de ajustar cualquier transformación. Colocar StandardScaler y el estimador dentro de un Pipeline; no usar estadísticas de los registros de prueba durante el entrenamiento.</w:t>
      </w:r>
    </w:p>
    <w:p>
      <w:pPr>
        <w:pStyle w:val="Heading2"/>
      </w:pPr>
      <w:r>
        <w:t>5.2 Repetición y variabilidad</w:t>
      </w:r>
    </w:p>
    <w:p>
      <w:r>
        <w:t>Ejecutar dos veces con la misma semilla para comprobar repetibilidad local. Después ejecutar un conjunto explícito de al menos cinco semillas y comunicar media y desviación estándar; registrar cada run en MLflow para satisfacer la rúbrica.</w:t>
      </w:r>
    </w:p>
    <w:p>
      <w:pPr>
        <w:pStyle w:val="Heading2"/>
      </w:pPr>
      <w:r>
        <w:t>5.3 Versionamiento</w:t>
      </w:r>
    </w:p>
    <w:p>
      <w:r>
        <w:t>Registrar código y README en Git, datos en DVC, y almacenar el dataset en un remoto recuperable. Vincular los hashes de código/datos a las métricas.</w:t>
      </w:r>
    </w:p>
    <w:p>
      <w:pPr>
        <w:pStyle w:val="Heading2"/>
      </w:pPr>
      <w:r>
        <w:t>5.4 Entorno</w:t>
      </w:r>
    </w:p>
    <w:p>
      <w:r>
        <w:t>Fijar únicamente dependencias directas del proyecto y la versión de Python utilizada. Construir una imagen Docker y ejecutar desde cero el mismo procedimiento.</w:t>
      </w:r>
    </w:p>
    <w:p>
      <w:pPr>
        <w:pStyle w:val="Heading2"/>
      </w:pPr>
      <w:r>
        <w:t>5.5 Prueba del extraño</w:t>
      </w:r>
    </w:p>
    <w:p>
      <w:r>
        <w:t>Solicitar a una persona independiente que clone el repositorio, recupere datos, cree el entorno y ejecute las instrucciones del README. Guardar el reporte de éxito o de los errores encontrados.</w:t>
      </w:r>
    </w:p>
    <w:p>
      <w:pPr>
        <w:pStyle w:val="Heading1"/>
      </w:pPr>
      <w:r>
        <w:t>6. Resultados locales de demostración</w:t>
      </w:r>
    </w:p>
    <w:p>
      <w:r>
        <w:t>Siete ejecuciones exploratorias del caso de demostración: 98.2456%, 99.1228%, 98.2456%, 97.3684%, 97.3684%, 98.2456% y 99.1228%. Promedio aproximado 98.2456%. Las cifras no están relacionadas con parcelas agrícolas y no sustituyen el registro aún pendiente en MLflow. Las diferencias de partición entre semillas no deben interpretarse como únicamente variabilidad de inicialización.</w:t>
      </w:r>
    </w:p>
    <w:p>
      <w:pPr>
        <w:pStyle w:val="Heading1"/>
      </w:pPr>
      <w:r>
        <w:t>7. Aporte de esta práctica a la tesis</w:t>
      </w:r>
    </w:p>
    <w:p>
      <w:r>
        <w:t>El artefacto doctoral previsto requerirá trazabilidad de datos por parcela/campaña, comparadores adecuados, restricciones económicas explícitas, reproducción independiente de los cálculos y una evaluación de la validez productiva y sociotécnica. La IA no es el problema central; se investiga su posible contribución bajo el minifundismo estructural.</w:t>
      </w:r>
    </w:p>
    <w:p>
      <w:pPr>
        <w:pStyle w:val="Heading1"/>
      </w:pPr>
      <w:r>
        <w:t>8. Limitaciones y pasos pendientes</w:t>
      </w:r>
    </w:p>
    <w:p>
      <w:r>
        <w:t>La demostración NO alcanza todavía todos los requisitos de la docente: faltan validación del remoto DVC, log efectivo en MLflow, reconstrucción de Docker y prueba independiente desde un clon, además del enlace GitHub. No corresponde calificar el repositorio como entregado ni como íntegramente reproducible hasta superar estas verificaciones.</w:t>
      </w:r>
    </w:p>
    <w:p>
      <w:pPr>
        <w:pStyle w:val="Heading1"/>
      </w:pPr>
      <w:r>
        <w:t>9. Bibliografía metodológica fundamental</w:t>
      </w:r>
    </w:p>
    <w:p>
      <w:pPr>
        <w:pStyle w:val="ListBullet"/>
      </w:pPr>
      <w:r>
        <w:t>Sculley, D., et al. (2015). Hidden Technical Debt in Machine Learning Systems. NeurIPS.</w:t>
      </w:r>
    </w:p>
    <w:p>
      <w:pPr>
        <w:pStyle w:val="ListBullet"/>
      </w:pPr>
      <w:r>
        <w:t>Pineau, J., et al. (2021). Improving Reproducibility in Machine Learning Research. Journal of Machine Learning Research.</w:t>
      </w:r>
    </w:p>
    <w:p>
      <w:pPr>
        <w:pStyle w:val="ListBullet"/>
      </w:pPr>
      <w:r>
        <w:t>Kapoor, S., &amp; Narayanan, A. (2023). Leakage and the Reproducibility Crisis in Machine-Learning-Based Science. Patterns.</w:t>
      </w:r>
    </w:p>
    <w:p>
      <w:pPr>
        <w:pStyle w:val="ListBullet"/>
      </w:pPr>
      <w:r>
        <w:t>Kapoor, S., et al. (2024). REFORMS: Consensus-based checklist for ML-based science. Science Advances.</w:t>
      </w:r>
    </w:p>
    <w:p>
      <w:pPr>
        <w:pStyle w:val="ListBullet"/>
      </w:pPr>
      <w:r>
        <w:t>Fuente docente: Gaur, L. Session5_Reproducibility_v2.pptx, diapositivas 1–50, UNMSM.</w:t>
      </w:r>
    </w:p>
    <w:p>
      <w:r>
        <w:br w:type="page"/>
      </w:r>
    </w:p>
    <w:p>
      <w:pPr>
        <w:pStyle w:val="Heading1"/>
      </w:pPr>
      <w:r>
        <w:t>INFOGRAFÍA · ENTREGABLE 5</w:t>
      </w:r>
    </w:p>
    <w:p>
      <w:r>
        <w:t>Mapa de las cinco capas y el estado de las verificaciones. El color y el diseño resumen el proceso; no reemplazan sus evidencias técnicas.</w:t>
      </w:r>
    </w:p>
    <w:p>
      <w:r>
        <w:drawing>
          <wp:inline xmlns:a="http://schemas.openxmlformats.org/drawingml/2006/main" xmlns:pic="http://schemas.openxmlformats.org/drawingml/2006/picture">
            <wp:extent cx="6355080" cy="3883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egable5_Infografia_Academ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836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23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UNMSM · Doctorado Deep Tech | Sesión 5 | Documento académico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3345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4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4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34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