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ENTREGABLE 7</w:t>
      </w:r>
    </w:p>
    <w:p>
      <w:pPr>
        <w:pStyle w:val="Heading1"/>
      </w:pPr>
      <w:r>
        <w:t>Model Card y Dataset Datasheet</w:t>
      </w:r>
    </w:p>
    <w:p>
      <w:r>
        <w:t>Doctorado Deep Tech · UNMSM | Curso: Métodos de investigación e integridad científica en IA | Dra. Loveleen Gaur</w:t>
      </w:r>
    </w:p>
    <w:p>
      <w:r>
        <w:t>Aplicación al marco de optimización productiva asistido por IA para agricultores minifundistas de Chota, Cajamarca. VERSIÓN DOCUMENTAL PRELIMINAR v0.1, sin resultados de validación de campo.</w:t>
      </w:r>
    </w:p>
    <w:p>
      <w:pPr>
        <w:pStyle w:val="Heading1"/>
      </w:pPr>
      <w:r>
        <w:t>Contexto y objetivo</w:t>
      </w:r>
    </w:p>
    <w:p>
      <w:r>
        <w:t>Se propone documentar un futuro artefacto de apoyo a decisiones productivas, destinado a investigar mejoras en productividad e ingresos netos sin ampliar parcelas. El problema central es el minifundismo estructural. La estrategia doctoral combina Ciencia del Diseño con métodos mixtos secuenciales explicativos (CUAN → cual). Esta entrega describe compromisos de diseño y vacíos de información; no reporta rendimiento agrícola medido.</w:t>
      </w:r>
    </w:p>
    <w:p>
      <w:pPr>
        <w:pStyle w:val="Heading1"/>
      </w:pPr>
      <w:r>
        <w:t>Documento A · Model Card (Mitchell et al., 2019)</w:t>
      </w:r>
    </w:p>
    <w:p>
      <w:pPr>
        <w:pStyle w:val="Heading2"/>
      </w:pPr>
      <w:r>
        <w:t>1. Model details · Detalles del modelo</w:t>
      </w:r>
    </w:p>
    <w:p>
      <w:r>
        <w:t>Nombre propuesto: Marco de Optimización Productiva Asistido por IA para Agricultura Minifundista de Chota (MOPA-IA, denominación de trabajo). Estado: concepto de diseño / prototipo no validado en campo. Versión: v0.1 documental. Responsable académico: investigador doctoral; institución: UNMSM. Arquitectura final: POR DEFINIR. No existe aún un checkpoint agrícola entrenado y verificado.</w:t>
      </w:r>
    </w:p>
    <w:p>
      <w:pPr>
        <w:pStyle w:val="Heading2"/>
      </w:pPr>
      <w:r>
        <w:t>2. Intended use · Uso previsto</w:t>
      </w:r>
    </w:p>
    <w:p>
      <w:r>
        <w:t>Uso futuro previsto: apoyar el análisis de decisiones productivas y la coordinación de recursos de agricultores minifundistas de Chota; apoyar investigaciones sobre productividad e ingreso neto sin ampliación de superficie. Usos no autorizados: sustituir la decisión humana, garantizar rendimientos, efectuar recomendaciones financieras definitivas, asignar créditos o evaluar personas.</w:t>
      </w:r>
    </w:p>
    <w:p>
      <w:pPr>
        <w:pStyle w:val="Heading2"/>
      </w:pPr>
      <w:r>
        <w:t>3. Factors · Factores y condiciones</w:t>
      </w:r>
    </w:p>
    <w:p>
      <w:r>
        <w:t>Factores a documentar: tamaño y fragmentación de parcelas, cultivo, campaña, disponibilidad de agua y trabajo, condiciones locales, precios y acceso a recursos compartidos. Subgrupos propuestos para una evaluación futura: categorías de superficie, cultivo, localidad y acceso a recursos, sujeto a tamaño de muestra y seguridad de los datos.</w:t>
      </w:r>
    </w:p>
    <w:p>
      <w:pPr>
        <w:pStyle w:val="Heading2"/>
      </w:pPr>
      <w:r>
        <w:t>4. Metrics · Métricas</w:t>
      </w:r>
    </w:p>
    <w:p>
      <w:r>
        <w:t>Métricas propuestas: productividad por unidad de superficie; costo total; ingreso bruto; ingreso neto (incluyendo criterios claros sobre autoconsumo y trabajo familiar); factibilidad de las recomendaciones; error predictivo cuando corresponda. Reportar media ± DE, intervalos de confianza, resultados por subgrupo y costo computacional. Valores: NO DISPONIBLES; aún no existe evaluación agrícola.</w:t>
      </w:r>
    </w:p>
    <w:p>
      <w:pPr>
        <w:pStyle w:val="Heading2"/>
      </w:pPr>
      <w:r>
        <w:t>5. Evaluation data · Datos de evaluación</w:t>
      </w:r>
    </w:p>
    <w:p>
      <w:r>
        <w:t>Conjunto de prueba: POR DEFINIR. Se diseñará separación por agricultor/parcela y/o campaña, conforme a la pregunta de generalización, evitando fuga de datos y temporalidad inversa. Validación externa en otra campaña o contexto: NO REALIZADA.</w:t>
      </w:r>
    </w:p>
    <w:p>
      <w:pPr>
        <w:pStyle w:val="Heading2"/>
      </w:pPr>
      <w:r>
        <w:t>6. Training data · Datos de entrenamiento</w:t>
      </w:r>
    </w:p>
    <w:p>
      <w:r>
        <w:t>Datos previstos: registros consentidos de superficie, producción, insumos, costos, ingreso y recursos de productores de Chota. Recolección, calidad, volumen, cobertura y accesos: PENDIENTES. No se ha utilizado todavía un dataset de agricultores de Chota para validar este marco.</w:t>
      </w:r>
    </w:p>
    <w:p>
      <w:pPr>
        <w:pStyle w:val="Heading2"/>
      </w:pPr>
      <w:r>
        <w:t>7. Quantitative analyses · Análisis cuantitativos</w:t>
      </w:r>
    </w:p>
    <w:p>
      <w:r>
        <w:t>Plan: comparación justa contra prácticas agrícolas usuales y reglas heurísticas/baselines simples; al menos cinco semillas si el algoritmo incorpora aleatoriedad; ablaciones quitando un componente por vez (restricciones de recursos, coordinación de parcelas, criterios económicos), preservando datos y presupuesto computacional. Resultados numéricos: NO EJECUTADOS.</w:t>
      </w:r>
    </w:p>
    <w:p>
      <w:pPr>
        <w:pStyle w:val="Heading2"/>
      </w:pPr>
      <w:r>
        <w:t>8. Ethical considerations · Consideraciones éticas</w:t>
      </w:r>
    </w:p>
    <w:p>
      <w:r>
        <w:t>Requiere consentimiento y protección de información económica familiar, manejo seguro de identificadores y revisión ética institucional cuando corresponda. Posibles riesgos: recomendaciones erróneas, sesgo hacia productores con mejores registros, pérdidas económicas y falsa confianza. Las decisiones siguen bajo control humano.</w:t>
      </w:r>
    </w:p>
    <w:p>
      <w:pPr>
        <w:pStyle w:val="Heading2"/>
      </w:pPr>
      <w:r>
        <w:t>9. Caveats and recommendations · Limitaciones y recomendaciones</w:t>
      </w:r>
    </w:p>
    <w:p>
      <w:r>
        <w:t>Limitaciones actuales: inexistencia de base de campo validada, arquitectura final y resultados comparativos; acceso y financiación sin confirmar; precios variables y autoconsumo. No comunicar beneficios productivos como demostrados. Actualizar la tarjeta tras cada versión experimental, registrar resultados negativos y pruebas por subgrupo.</w:t>
      </w:r>
    </w:p>
    <w:p>
      <w:pPr>
        <w:pStyle w:val="Heading1"/>
      </w:pPr>
      <w:r>
        <w:t>Documento B · Dataset Datasheet (Gebru et al., 2021)</w:t>
      </w:r>
    </w:p>
    <w:p>
      <w:pPr>
        <w:pStyle w:val="Heading2"/>
      </w:pPr>
      <w:r>
        <w:t>1. Motivation · Motivación</w:t>
      </w:r>
    </w:p>
    <w:p>
      <w:r>
        <w:t>Documentar registros para evaluar un marco de IA ante restricciones productivas del minifundismo en Chota. Conjunto futuro, no compilado todavía como dataset final.</w:t>
      </w:r>
    </w:p>
    <w:p>
      <w:pPr>
        <w:pStyle w:val="Heading2"/>
      </w:pPr>
      <w:r>
        <w:t>2. Composition · Composición</w:t>
      </w:r>
    </w:p>
    <w:p>
      <w:r>
        <w:t>Unidad propuesta: agricultor–parcela–campaña, con posibilidad de observaciones asociadas. Campos por validar: ubicación general, superficie, cultivo, volumen, costos, trabajo familiar, ingresos y acceso a recursos. Número de participantes y registros: DESCONOCIDO.</w:t>
      </w:r>
    </w:p>
    <w:p>
      <w:pPr>
        <w:pStyle w:val="Heading2"/>
      </w:pPr>
      <w:r>
        <w:t>3. Collection · Recolección</w:t>
      </w:r>
    </w:p>
    <w:p>
      <w:r>
        <w:t>Fuente prevista: agricultores voluntarios y registros autorizados de campo. Instrumentos, responsable de captura, periodo, muestreo, permisos y controles de calidad: POR DEFINIR. No se afirma que estos datos ya hayan sido recolectados.</w:t>
      </w:r>
    </w:p>
    <w:p>
      <w:pPr>
        <w:pStyle w:val="Heading2"/>
      </w:pPr>
      <w:r>
        <w:t>4. Preprocessing · Preprocesamiento</w:t>
      </w:r>
    </w:p>
    <w:p>
      <w:r>
        <w:t>Plan: validación de unidades, tratamiento documentado de valores ausentes, normalización de costos y precios por campaña cuando corresponda, controles de duplicados, separación por unidad y tiempo antes de estimar transformaciones. No existe pipeline agrícola validado aún.</w:t>
      </w:r>
    </w:p>
    <w:p>
      <w:pPr>
        <w:pStyle w:val="Heading2"/>
      </w:pPr>
      <w:r>
        <w:t>5. Uses · Usos y usos no recomendados</w:t>
      </w:r>
    </w:p>
    <w:p>
      <w:r>
        <w:t>Uso científico previsto: desarrollar y auditar modelos de apoyo a decisiones agrícolas. No recomendado: decisiones crediticias individuales, identificación pública de agricultores, prescripción automática de inversiones o inferencias fuera del contexto de captura.</w:t>
      </w:r>
    </w:p>
    <w:p>
      <w:pPr>
        <w:pStyle w:val="Heading2"/>
      </w:pPr>
      <w:r>
        <w:t>6. Distribution · Distribución</w:t>
      </w:r>
    </w:p>
    <w:p>
      <w:r>
        <w:t>Estado: no existe dataset público. Se prevé divulgar solo estadísticas agregadas y, de ser viable, datos anonimizados bajo autorización y evaluación de riesgo de reidentificación. Los datos personales y económicos no deben publicarse por defecto.</w:t>
      </w:r>
    </w:p>
    <w:p>
      <w:pPr>
        <w:pStyle w:val="Heading2"/>
      </w:pPr>
      <w:r>
        <w:t>7. Maintenance · Mantenimiento</w:t>
      </w:r>
    </w:p>
    <w:p>
      <w:r>
        <w:t>Responsable y frecuencia de actualización: POR DEFINIR. Se establecerán controles de versiones, correcciones de errores, retiro de datos cuando proceda, seguimiento de procedencia y fechas de actualización.</w:t>
      </w:r>
    </w:p>
    <w:p>
      <w:pPr>
        <w:pStyle w:val="Heading1"/>
      </w:pPr>
      <w:r>
        <w:t>Plan de benchmarking y ablaciones</w:t>
      </w:r>
    </w:p>
    <w:p>
      <w:r>
        <w:t>Líneas base propuestas: práctica habitual y estrategia heurística transparente; métodos estadísticos sencillos cuando sean apropiados. Mantener igualdad de datos, particiones, cómputo y oportunidades de ajuste. Ablaciones experimentales: retirando de una en una la consideración de restricciones de recursos, coordinación entre parcelas y componente económico. Especificar antes de ejecutarlas los indicadores y el plan estadístico. Ningún resultado de ablación ha sido producido para Chota.</w:t>
      </w:r>
    </w:p>
    <w:p>
      <w:pPr>
        <w:pStyle w:val="Heading1"/>
      </w:pPr>
      <w:r>
        <w:t>Autoauditoría según la rúbrica de la docente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Criterio</w:t>
            </w:r>
          </w:p>
        </w:tc>
        <w:tc>
          <w:tcPr>
            <w:tcW w:type="dxa" w:w="4939"/>
          </w:tcPr>
          <w:p>
            <w:r>
              <w:t>Estado comprobable</w:t>
            </w:r>
          </w:p>
        </w:tc>
      </w:tr>
      <w:tr>
        <w:tc>
          <w:tcPr>
            <w:tcW w:type="dxa" w:w="4939"/>
          </w:tcPr>
          <w:p>
            <w:r>
              <w:t>Completitud de secciones</w:t>
            </w:r>
          </w:p>
        </w:tc>
        <w:tc>
          <w:tcPr>
            <w:tcW w:type="dxa" w:w="4939"/>
          </w:tcPr>
          <w:p>
            <w:r>
              <w:t>9 + 7 secciones incluidas; campos pendientes expresamente marcados</w:t>
            </w:r>
          </w:p>
        </w:tc>
      </w:tr>
      <w:tr>
        <w:tc>
          <w:tcPr>
            <w:tcW w:type="dxa" w:w="4939"/>
          </w:tcPr>
          <w:p>
            <w:r>
              <w:t>Honestidad y usos indebidos</w:t>
            </w:r>
          </w:p>
        </w:tc>
        <w:tc>
          <w:tcPr>
            <w:tcW w:type="dxa" w:w="4939"/>
          </w:tcPr>
          <w:p>
            <w:r>
              <w:t>Sí: las limitaciones y prohibiciones están declaradas</w:t>
            </w:r>
          </w:p>
        </w:tc>
      </w:tr>
      <w:tr>
        <w:tc>
          <w:tcPr>
            <w:tcW w:type="dxa" w:w="4939"/>
          </w:tcPr>
          <w:p>
            <w:r>
              <w:t>Métricas desagregadas</w:t>
            </w:r>
          </w:p>
        </w:tc>
        <w:tc>
          <w:tcPr>
            <w:tcW w:type="dxa" w:w="4939"/>
          </w:tcPr>
          <w:p>
            <w:r>
              <w:t>Plan propuesto; sin métricas reales por falta de datos</w:t>
            </w:r>
          </w:p>
        </w:tc>
      </w:tr>
      <w:tr>
        <w:tc>
          <w:tcPr>
            <w:tcW w:type="dxa" w:w="4939"/>
          </w:tcPr>
          <w:p>
            <w:r>
              <w:t>Reproducibilidad experimental</w:t>
            </w:r>
          </w:p>
        </w:tc>
        <w:tc>
          <w:tcPr>
            <w:tcW w:type="dxa" w:w="4939"/>
          </w:tcPr>
          <w:p>
            <w:r>
              <w:t>No demostrada: faltan dataset, código agrícola, experimentos y ambiente verificado</w:t>
            </w:r>
          </w:p>
        </w:tc>
      </w:tr>
    </w:tbl>
    <w:p>
      <w:pPr>
        <w:pStyle w:val="Heading1"/>
      </w:pPr>
      <w:r>
        <w:t>Infografía de síntesis</w:t>
      </w:r>
    </w:p>
    <w:p>
      <w:r>
        <w:drawing>
          <wp:inline xmlns:a="http://schemas.openxmlformats.org/drawingml/2006/main" xmlns:pic="http://schemas.openxmlformats.org/drawingml/2006/picture">
            <wp:extent cx="6263640" cy="3573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egable7_Infografia_Integr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7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Conclusión y trabajo necesario</w:t>
      </w:r>
    </w:p>
    <w:p>
      <w:r>
        <w:t>La documentación anticipada hace explícitas la finalidad, los riesgos y la evidencia que deberá generarse. Para completar una Model Card y Datasheet de un modelo realmente entrenado será imprescindible recolectar o seleccionar datos autorizados, desarrollar el pipeline y comparar modelos con ablaciones y validación externa. El documento actual es útil como diseño inicial, no como certificación del desempeño de la IA propuesta.</w:t>
      </w:r>
    </w:p>
    <w:p>
      <w:pPr>
        <w:pStyle w:val="Heading1"/>
      </w:pPr>
      <w:r>
        <w:t>Referencias fundamentales</w:t>
      </w:r>
    </w:p>
    <w:p>
      <w:pPr>
        <w:pStyle w:val="ListBullet"/>
      </w:pPr>
      <w:r>
        <w:t>Mitchell, M. et al. (2019). Model Cards for Model Reporting. ACM FAccT. https://arxiv.org/abs/1810.03993</w:t>
      </w:r>
    </w:p>
    <w:p>
      <w:pPr>
        <w:pStyle w:val="ListBullet"/>
      </w:pPr>
      <w:r>
        <w:t>Gebru, T. et al. (2021). Datasheets for Datasets. Communications of the ACM, 64(12), 86–92. https://arxiv.org/abs/1803.09010</w:t>
      </w:r>
    </w:p>
    <w:p>
      <w:pPr>
        <w:pStyle w:val="ListBullet"/>
      </w:pPr>
      <w:r>
        <w:t>Ferrari Dacrema, M., Cremonesi, P., &amp; Jannach, D. (2019). Are We Really Making Much Progress? RecSys. https://arxiv.org/abs/1907.06902</w:t>
      </w:r>
    </w:p>
    <w:p>
      <w:pPr>
        <w:pStyle w:val="ListBullet"/>
      </w:pPr>
      <w:r>
        <w:t>Northcutt, C., Athalye, A., &amp; Mueller, J. (2021). Pervasive Label Errors in Test Sets Destabilize Machine Learning Benchmarks. https://arxiv.org/abs/2103.14749</w:t>
      </w:r>
    </w:p>
    <w:sectPr w:rsidR="00FC693F" w:rsidRPr="0006063C" w:rsidSect="00034616"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A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2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426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426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