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C0392B"/>
          <w:sz w:val="20"/>
          <w:szCs w:val="20"/>
        </w:rPr>
        <w:t xml:space="preserve">NOTA TÉCNICA — PARA ÁREA DE REDES</w:t>
      </w:r>
    </w:p>
    <w:p>
      <w:pPr>
        <w:spacing w:after="40"/>
      </w:pPr>
      <w:r>
        <w:rPr>
          <w:b/>
          <w:bCs/>
          <w:color w:val="1B2A4A"/>
          <w:sz w:val="34"/>
          <w:szCs w:val="34"/>
        </w:rPr>
        <w:t xml:space="preserve">Acceso externo y publicación de servicios</w:t>
      </w:r>
    </w:p>
    <w:p>
      <w:pPr>
        <w:spacing w:after="300"/>
      </w:pPr>
      <w:r>
        <w:rPr>
          <w:color w:val="6B7280"/>
          <w:sz w:val="22"/>
          <w:szCs w:val="22"/>
        </w:rPr>
        <w:t xml:space="preserve">Servidor interno SP Seguridad Privada (Ubuntu / Docker / Coolify)</w:t>
      </w:r>
    </w:p>
    <w:p>
      <w:pPr>
        <w:pBdr>
          <w:bottom w:val="single" w:color="D0D5DD" w:sz="4" w:space="4"/>
        </w:pBdr>
        <w:spacing w:after="300"/>
      </w:pPr>
      <w:r>
        <w:rPr>
          <w:i/>
          <w:iCs/>
          <w:color w:val="6B7280"/>
          <w:sz w:val="18"/>
          <w:szCs w:val="18"/>
        </w:rPr>
        <w:t xml:space="preserve">Preparado por: Martin Wolcan  ·  Fecha: 6 de agosto de 2026</w:t>
      </w:r>
    </w:p>
    <w:p>
      <w:pPr>
        <w:pStyle w:val="Heading1"/>
        <w:pBdr>
          <w:bottom w:val="single" w:color="C0392B" w:sz="6" w:space="4"/>
        </w:pBdr>
        <w:spacing w:after="160" w:before="400"/>
      </w:pPr>
      <w:r>
        <w:rPr>
          <w:b/>
          <w:bCs/>
          <w:color w:val="1B2A4A"/>
          <w:sz w:val="26"/>
          <w:szCs w:val="26"/>
        </w:rPr>
        <w:t xml:space="preserve">1. Contexto</w:t>
      </w:r>
    </w:p>
    <w:p>
      <w:pPr>
        <w:spacing w:after="160" w:line="300"/>
      </w:pPr>
      <w:r>
        <w:rPr>
          <w:sz w:val="21"/>
          <w:szCs w:val="21"/>
        </w:rPr>
        <w:t xml:space="preserve">Actualmente hay un servidor Ubuntu con Docker y Coolify instalado, solo accesible dentro de la red interna, donde corre el portal Web Interna SP (intranet institucional). Se solicita al Área de Redes habilitar acceso externo (desde internet) a dos proyectos independientes entre sí, que van a convivir en el mismo servidor pero con subdominios propios: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21"/>
          <w:szCs w:val="21"/>
        </w:rPr>
        <w:t xml:space="preserve">Web Interna SP: para poder trabajar y, eventualmente, acceder al portal desde fuera de la red de la oficina.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21"/>
          <w:szCs w:val="21"/>
        </w:rPr>
        <w:t xml:space="preserve">Servicio de integración de datos: un proyecto nuevo e independiente, que recibe datos de un sistema externo y permite consultarlos remotamente.</w:t>
      </w:r>
    </w:p>
    <w:p>
      <w:pPr>
        <w:spacing w:after="160" w:line="300"/>
      </w:pPr>
      <w:r>
        <w:rPr>
          <w:sz w:val="21"/>
          <w:szCs w:val="21"/>
        </w:rPr>
        <w:t xml:space="preserve">Ambos certificados de seguridad (HTTPS) se gestionan de forma automática desde el propio servidor (Let's Encrypt) una vez que Redes complete los puntos de red que se detallan abajo — no hace falta que Redes emita ni administre certificados manualmente.</w:t>
      </w:r>
    </w:p>
    <w:p>
      <w:pPr>
        <w:pStyle w:val="Heading1"/>
        <w:pBdr>
          <w:bottom w:val="single" w:color="C0392B" w:sz="6" w:space="4"/>
        </w:pBdr>
        <w:spacing w:after="160" w:before="400"/>
      </w:pPr>
      <w:r>
        <w:rPr>
          <w:b/>
          <w:bCs/>
          <w:color w:val="1B2A4A"/>
          <w:sz w:val="26"/>
          <w:szCs w:val="26"/>
        </w:rPr>
        <w:t xml:space="preserve">2. Proyecto 1 — Web Interna SP (acceso externo)</w:t>
      </w:r>
    </w:p>
    <w:p>
      <w:pPr>
        <w:spacing w:after="100" w:line="280"/>
      </w:pPr>
      <w:r>
        <w:rPr>
          <w:b/>
          <w:bCs/>
          <w:color w:val="1B2A4A"/>
          <w:sz w:val="21"/>
          <w:szCs w:val="21"/>
        </w:rPr>
        <w:t xml:space="preserve">Objetivo: </w:t>
      </w:r>
      <w:r>
        <w:rPr>
          <w:sz w:val="21"/>
          <w:szCs w:val="21"/>
        </w:rPr>
        <w:t xml:space="preserve">que el portal interno pueda administrarse y, si se decide, consultarse desde fuera de la red local, con HTTPS válido.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00"/>
      </w:tblGrid>
      <w:tr>
        <w:trPr>
          <w:tblHeader/>
        </w:trPr>
        <w:tc>
          <w:tcPr>
            <w:tcW w:type="dxa" w:w="3000"/>
            <w:shd w:fill="1B2A4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400"/>
            <w:shd w:fill="1B2A4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/ definición requerida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Subdominio</w:t>
            </w:r>
          </w:p>
        </w:tc>
        <w:tc>
          <w:tcPr>
            <w:tcW w:type="dxa" w:w="64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intranet.spseguridad.com.ar (a confirmar el nombre final)</w:t>
            </w:r>
          </w:p>
        </w:tc>
      </w:tr>
      <w:tr>
        <w:tc>
          <w:tcPr>
            <w:tcW w:type="dxa" w:w="30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Registro DNS</w:t>
            </w:r>
          </w:p>
        </w:tc>
        <w:tc>
          <w:tcPr>
            <w:tcW w:type="dxa" w:w="64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Tipo A, apuntando a 168.226.214.59 (IP pública confirmada de la conexión de la oficina)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Port forwarding</w:t>
            </w:r>
          </w:p>
        </w:tc>
        <w:tc>
          <w:tcPr>
            <w:tcW w:type="dxa" w:w="64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Puertos 80 (HTTP) y 443 (HTTPS) → IP interna 20.0.20.138</w:t>
            </w:r>
          </w:p>
        </w:tc>
      </w:tr>
      <w:tr>
        <w:tc>
          <w:tcPr>
            <w:tcW w:type="dxa" w:w="30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Certificado SSL</w:t>
            </w:r>
          </w:p>
        </w:tc>
        <w:tc>
          <w:tcPr>
            <w:tcW w:type="dxa" w:w="64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 vía Let's Encrypt, gestionado por el propio servidor (Coolify/Traefik). No requiere que Redes emita ni cargue un certificado manualmente.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Puerto 22 (SSH)</w:t>
            </w:r>
          </w:p>
        </w:tc>
        <w:tc>
          <w:tcPr>
            <w:tcW w:type="dxa" w:w="64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 debe exponerse a internet — administración solo desde red interna o VPN.</w:t>
            </w:r>
          </w:p>
        </w:tc>
      </w:tr>
    </w:tbl>
    <w:p>
      <w:pPr>
        <w:spacing w:before="200"/>
      </w:pPr>
    </w:p>
    <w:p>
      <w:pPr>
        <w:pStyle w:val="Heading1"/>
        <w:pBdr>
          <w:bottom w:val="single" w:color="C0392B" w:sz="6" w:space="4"/>
        </w:pBdr>
        <w:spacing w:after="160" w:before="400"/>
      </w:pPr>
      <w:r>
        <w:rPr>
          <w:b/>
          <w:bCs/>
          <w:color w:val="1B2A4A"/>
          <w:sz w:val="26"/>
          <w:szCs w:val="26"/>
        </w:rPr>
        <w:t xml:space="preserve">3. Proyecto 2 — Servicio de integración de datos (independiente)</w:t>
      </w:r>
    </w:p>
    <w:p>
      <w:pPr>
        <w:spacing w:after="100" w:line="280"/>
      </w:pPr>
      <w:r>
        <w:rPr>
          <w:b/>
          <w:bCs/>
          <w:color w:val="1B2A4A"/>
          <w:sz w:val="21"/>
          <w:szCs w:val="21"/>
        </w:rPr>
        <w:t xml:space="preserve">Objetivo: </w:t>
      </w:r>
      <w:r>
        <w:rPr>
          <w:sz w:val="21"/>
          <w:szCs w:val="21"/>
        </w:rPr>
        <w:t xml:space="preserve">recibir datos enviados por un sistema externo (vía HTTPS) y guardarlos en el servidor, para poder consultarlos después desde otra ubicación fuera de la red local. Es un proyecto separado del portal, aunque comparte el mismo servidor físico.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00"/>
      </w:tblGrid>
      <w:tr>
        <w:trPr>
          <w:tblHeader/>
        </w:trPr>
        <w:tc>
          <w:tcPr>
            <w:tcW w:type="dxa" w:w="3000"/>
            <w:shd w:fill="1B2A4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400"/>
            <w:shd w:fill="1B2A4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/ definición requerida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Subdominio</w:t>
            </w:r>
          </w:p>
        </w:tc>
        <w:tc>
          <w:tcPr>
            <w:tcW w:type="dxa" w:w="64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datos.spseguridad.com.ar (a confirmar el nombre final)</w:t>
            </w:r>
          </w:p>
        </w:tc>
      </w:tr>
      <w:tr>
        <w:tc>
          <w:tcPr>
            <w:tcW w:type="dxa" w:w="30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Registro DNS</w:t>
            </w:r>
          </w:p>
        </w:tc>
        <w:tc>
          <w:tcPr>
            <w:tcW w:type="dxa" w:w="64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Tipo A, misma IP pública que el punto anterior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Port forwarding adicional</w:t>
            </w:r>
          </w:p>
        </w:tc>
        <w:tc>
          <w:tcPr>
            <w:tcW w:type="dxa" w:w="64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Ninguno — reutiliza los mismos puertos 80/443 ya abiertos; el servidor distingue cada proyecto por subdominio.</w:t>
            </w:r>
          </w:p>
        </w:tc>
      </w:tr>
      <w:tr>
        <w:tc>
          <w:tcPr>
            <w:tcW w:type="dxa" w:w="30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Certificado SSL</w:t>
            </w:r>
          </w:p>
        </w:tc>
        <w:tc>
          <w:tcPr>
            <w:tcW w:type="dxa" w:w="64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 vía Let's Encrypt, igual que el proyecto anterior.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Autenticación de la API</w:t>
            </w:r>
          </w:p>
        </w:tc>
        <w:tc>
          <w:tcPr>
            <w:tcW w:type="dxa" w:w="64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Token/clave secreta compartida en cada request (recepción y consulta). Sin token válido, el servidor rechaza la petición.</w:t>
            </w:r>
          </w:p>
        </w:tc>
      </w:tr>
      <w:tr>
        <w:tc>
          <w:tcPr>
            <w:tcW w:type="dxa" w:w="30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Restricción por IP (opcional)</w:t>
            </w:r>
          </w:p>
        </w:tc>
        <w:tc>
          <w:tcPr>
            <w:tcW w:type="dxa" w:w="64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 el sistema externo que envía los datos tiene IP fija conocida, se puede limitar el acceso al endpoint de recepción solo a esa IP, como capa adicional.</w:t>
            </w:r>
          </w:p>
        </w:tc>
      </w:tr>
    </w:tbl>
    <w:p>
      <w:pPr>
        <w:spacing w:before="200"/>
      </w:pPr>
    </w:p>
    <w:p>
      <w:pPr>
        <w:pStyle w:val="Heading1"/>
        <w:pBdr>
          <w:bottom w:val="single" w:color="C0392B" w:sz="6" w:space="4"/>
        </w:pBdr>
        <w:spacing w:after="160" w:before="400"/>
      </w:pPr>
      <w:r>
        <w:rPr>
          <w:b/>
          <w:bCs/>
          <w:color w:val="1B2A4A"/>
          <w:sz w:val="26"/>
          <w:szCs w:val="26"/>
        </w:rPr>
        <w:t xml:space="preserve">4. Consideraciones de seguridad (aplican a ambos proyectos)</w:t>
      </w:r>
    </w:p>
    <w:p>
      <w:pPr>
        <w:spacing w:after="160" w:line="300"/>
      </w:pPr>
      <w:r>
        <w:rPr>
          <w:sz w:val="21"/>
          <w:szCs w:val="21"/>
        </w:rPr>
        <w:t xml:space="preserve">Al exponer el servidor a internet, se recomienda reforzar lo siguiente antes de habilitar el acceso público: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21"/>
          <w:szCs w:val="21"/>
        </w:rPr>
        <w:t xml:space="preserve">Deshabilitar el login por contraseña en SSH, dejando exclusivamente autenticación por clave — se detectó que actualmente el acceso por contraseña está habilitado para el usuario root, lo cual es un riesgo si el puerto 22 quedara expuesto por error.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21"/>
          <w:szCs w:val="21"/>
        </w:rPr>
        <w:t xml:space="preserve">No exponer el puerto 22 (SSH) a internet bajo ningún concepto; la administración remota del servidor debe hacerse por VPN o desde la red interna.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21"/>
          <w:szCs w:val="21"/>
        </w:rPr>
        <w:t xml:space="preserve">Instalar y configurar fail2ban (actualmente no está instalado) para mitigar intentos de fuerza bruta sobre los servicios expuestos.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21"/>
          <w:szCs w:val="21"/>
        </w:rPr>
        <w:t xml:space="preserve">Mantener el sistema operativo y Docker actualizados periódicamente.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21"/>
          <w:szCs w:val="21"/>
        </w:rPr>
        <w:t xml:space="preserve">En el servicio de integración de datos, validar siempre el token de autenticación en cada request antes de procesar o devolver información.</w:t>
      </w:r>
    </w:p>
    <w:p>
      <w:pPr>
        <w:pStyle w:val="Heading1"/>
        <w:pBdr>
          <w:bottom w:val="single" w:color="C0392B" w:sz="6" w:space="4"/>
        </w:pBdr>
        <w:spacing w:after="160" w:before="400"/>
      </w:pPr>
      <w:r>
        <w:rPr>
          <w:b/>
          <w:bCs/>
          <w:color w:val="1B2A4A"/>
          <w:sz w:val="26"/>
          <w:szCs w:val="26"/>
        </w:rPr>
        <w:t xml:space="preserve">5. Checklist — qué necesitamos que gestione el Área de Redes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sz w:val="21"/>
          <w:szCs w:val="21"/>
        </w:rPr>
        <w:t xml:space="preserve">Confirmar la IP pública de la conexión de la oficina donde está el servidor.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sz w:val="21"/>
          <w:szCs w:val="21"/>
        </w:rPr>
        <w:t xml:space="preserve">Crear registro DNS tipo A para intranet.spseguridad.com.ar → IP pública.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sz w:val="21"/>
          <w:szCs w:val="21"/>
        </w:rPr>
        <w:t xml:space="preserve">Crear registro DNS tipo A para datos.spseguridad.com.ar → misma IP pública.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sz w:val="21"/>
          <w:szCs w:val="21"/>
        </w:rPr>
        <w:t xml:space="preserve">Configurar port forwarding en el router/firewall perimetral: puertos 80 y 443 → 20.0.20.138 (IP interna del servidor).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sz w:val="21"/>
          <w:szCs w:val="21"/>
        </w:rPr>
        <w:t xml:space="preserve">Confirmar que el firewall perimetral permite tráfico entrante en 80 y 443, y que el puerto 22 permanece cerrado hacia afuera.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sz w:val="21"/>
          <w:szCs w:val="21"/>
        </w:rPr>
        <w:t xml:space="preserve">Confirmar con Martin Wolcan una vez aplicados los cambios, para validar la emisión automática de los certificados y el acceso externo.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2026-08-10T15:00:57.088Z</dcterms:created>
  <dcterms:modified xsi:type="dcterms:W3CDTF">2026-08-10T15:00:57.088Z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