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2A44"/>
          <w:sz w:val="40"/>
        </w:rPr>
        <w:t>Guía de documentación de procesos</w:t>
      </w:r>
    </w:p>
    <w:p>
      <w:pPr>
        <w:spacing w:after="200"/>
      </w:pPr>
      <w:r>
        <w:rPr>
          <w:color w:val="595959"/>
          <w:sz w:val="22"/>
        </w:rPr>
        <w:t>SP Seguridad Privada · Proceso y Mejora Continua · Metodología común para todos los subprocesos y áreas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Propósito</w:t>
      </w:r>
    </w:p>
    <w:p>
      <w:r>
        <w:rPr>
          <w:b w:val="0"/>
        </w:rPr>
        <w:t>Definir cómo se relevan, modelan, validan, publican e implementan los procesos, para que todos los subprocesos y áreas se documenten igual, con la misma nomenclatura y en un único lugar de consulta.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Ciclo de trabajo por subproceso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814"/>
        <w:gridCol w:w="4876"/>
        <w:gridCol w:w="2721"/>
      </w:tblGrid>
      <w:tr>
        <w:trPr>
          <w:tblHeader w:val="true"/>
        </w:trPr>
        <w:tc>
          <w:tcPr>
            <w:tcW w:type="dxa" w:w="1814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4876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Qué se hace</w:t>
            </w:r>
          </w:p>
        </w:tc>
        <w:tc>
          <w:tcPr>
            <w:tcW w:type="dxa" w:w="2721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814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 Relevamiento</w:t>
            </w:r>
          </w:p>
        </w:tc>
        <w:tc>
          <w:tcPr>
            <w:tcW w:type="dxa" w:w="4876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Reuniones del ciclo de mejora con las áreas involucradas. Situación actual y problemas.</w:t>
            </w:r>
          </w:p>
        </w:tc>
        <w:tc>
          <w:tcPr>
            <w:tcW w:type="dxa" w:w="272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Minuta de cada reunión</w:t>
            </w:r>
          </w:p>
        </w:tc>
      </w:tr>
      <w:tr>
        <w:tc>
          <w:tcPr>
            <w:tcW w:type="dxa" w:w="1814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2. Análisis de hitos</w:t>
            </w:r>
          </w:p>
        </w:tc>
        <w:tc>
          <w:tcPr>
            <w:tcW w:type="dxa" w:w="4876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Identificar los traspasos de responsabilidad y definir responsable, canal y plazo de cada uno.</w:t>
            </w:r>
          </w:p>
        </w:tc>
        <w:tc>
          <w:tcPr>
            <w:tcW w:type="dxa" w:w="272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Matrices de responsabilidades y de comunicación</w:t>
            </w:r>
          </w:p>
        </w:tc>
      </w:tr>
      <w:tr>
        <w:tc>
          <w:tcPr>
            <w:tcW w:type="dxa" w:w="1814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3. Modelado</w:t>
            </w:r>
          </w:p>
        </w:tc>
        <w:tc>
          <w:tcPr>
            <w:tcW w:type="dxa" w:w="4876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Diagrama BPMN del subproceso con un lane por área. Lo abierto se marca "A definir".</w:t>
            </w:r>
          </w:p>
        </w:tc>
        <w:tc>
          <w:tcPr>
            <w:tcW w:type="dxa" w:w="272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Archivo .bpmn</w:t>
            </w:r>
          </w:p>
        </w:tc>
      </w:tr>
      <w:tr>
        <w:tc>
          <w:tcPr>
            <w:tcW w:type="dxa" w:w="1814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4. Validación</w:t>
            </w:r>
          </w:p>
        </w:tc>
        <w:tc>
          <w:tcPr>
            <w:tcW w:type="dxa" w:w="4876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Se circula a los participantes y lo aprueba el gerente de cada área.</w:t>
            </w:r>
          </w:p>
        </w:tc>
        <w:tc>
          <w:tcPr>
            <w:tcW w:type="dxa" w:w="272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Documentos en v1.0</w:t>
            </w:r>
          </w:p>
        </w:tc>
      </w:tr>
      <w:tr>
        <w:tc>
          <w:tcPr>
            <w:tcW w:type="dxa" w:w="1814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5. Publicación</w:t>
            </w:r>
          </w:p>
        </w:tc>
        <w:tc>
          <w:tcPr>
            <w:tcW w:type="dxa" w:w="4876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Se publica en la web interna de procesos.</w:t>
            </w:r>
          </w:p>
        </w:tc>
        <w:tc>
          <w:tcPr>
            <w:tcW w:type="dxa" w:w="272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Página del proceso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6. Implementación</w:t>
            </w:r>
          </w:p>
        </w:tc>
        <w:tc>
          <w:tcPr>
            <w:tcW w:type="dxa" w:w="48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Configuración en las herramientas (GHL, NetSuite) según los hitos definidos.</w:t>
            </w:r>
          </w:p>
        </w:tc>
        <w:tc>
          <w:tcPr>
            <w:tcW w:type="dxa" w:w="2721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Workflows y automatizaciones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Paquete documental de cada 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876"/>
        <w:gridCol w:w="1984"/>
        <w:gridCol w:w="2551"/>
      </w:tblGrid>
      <w:tr>
        <w:trPr>
          <w:tblHeader w:val="true"/>
        </w:trPr>
        <w:tc>
          <w:tcPr>
            <w:tcW w:type="dxa" w:w="4876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1984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2551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Carpeta</w:t>
            </w:r>
          </w:p>
        </w:tc>
      </w:tr>
      <w:tr>
        <w:tc>
          <w:tcPr>
            <w:tcW w:type="dxa" w:w="4876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Ficha del proceso (objetivo, alcance, áreas, hitos)</w:t>
            </w:r>
          </w:p>
        </w:tc>
        <w:tc>
          <w:tcPr>
            <w:tcW w:type="dxa" w:w="1984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Word</w:t>
            </w:r>
          </w:p>
        </w:tc>
        <w:tc>
          <w:tcPr>
            <w:tcW w:type="dxa" w:w="255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01_Relevamiento</w:t>
            </w:r>
          </w:p>
        </w:tc>
      </w:tr>
      <w:tr>
        <w:tc>
          <w:tcPr>
            <w:tcW w:type="dxa" w:w="4876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Minutas de reunión</w:t>
            </w:r>
          </w:p>
        </w:tc>
        <w:tc>
          <w:tcPr>
            <w:tcW w:type="dxa" w:w="1984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Word (plantilla)</w:t>
            </w:r>
          </w:p>
        </w:tc>
        <w:tc>
          <w:tcPr>
            <w:tcW w:type="dxa" w:w="255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Reuniones</w:t>
            </w:r>
          </w:p>
        </w:tc>
      </w:tr>
      <w:tr>
        <w:tc>
          <w:tcPr>
            <w:tcW w:type="dxa" w:w="4876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Matriz de responsabilidades y de comunicación</w:t>
            </w:r>
          </w:p>
        </w:tc>
        <w:tc>
          <w:tcPr>
            <w:tcW w:type="dxa" w:w="1984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Excel</w:t>
            </w:r>
          </w:p>
        </w:tc>
        <w:tc>
          <w:tcPr>
            <w:tcW w:type="dxa" w:w="255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02_Analisis-hitos</w:t>
            </w:r>
          </w:p>
        </w:tc>
      </w:tr>
      <w:tr>
        <w:tc>
          <w:tcPr>
            <w:tcW w:type="dxa" w:w="4876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Diagramas BPMN (uno por subproceso)</w:t>
            </w:r>
          </w:p>
        </w:tc>
        <w:tc>
          <w:tcPr>
            <w:tcW w:type="dxa" w:w="1984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.bpmn (BPMN 2.0)</w:t>
            </w:r>
          </w:p>
        </w:tc>
        <w:tc>
          <w:tcPr>
            <w:tcW w:type="dxa" w:w="255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03_Modelado-BPMN</w:t>
            </w:r>
          </w:p>
        </w:tc>
      </w:tr>
      <w:tr>
        <w:tc>
          <w:tcPr>
            <w:tcW w:type="dxa" w:w="4876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Configuración en GHL / NetSuite</w:t>
            </w:r>
          </w:p>
        </w:tc>
        <w:tc>
          <w:tcPr>
            <w:tcW w:type="dxa" w:w="1984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Word / Excel</w:t>
            </w:r>
          </w:p>
        </w:tc>
        <w:tc>
          <w:tcPr>
            <w:tcW w:type="dxa" w:w="255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04_Implementacion-GHL</w:t>
            </w:r>
          </w:p>
        </w:tc>
      </w:tr>
      <w:tr>
        <w:tc>
          <w:tcPr>
            <w:tcW w:type="dxa" w:w="48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Funciones por área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Word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05_Funciones-por-area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Convenciones</w:t>
      </w:r>
    </w:p>
    <w:p>
      <w:pPr>
        <w:pStyle w:val="ListBullet"/>
        <w:spacing w:after="40"/>
      </w:pPr>
      <w:r>
        <w:rPr>
          <w:b/>
        </w:rPr>
        <w:t>Carpetas:</w:t>
      </w:r>
      <w:r>
        <w:rPr>
          <w:b w:val="0"/>
        </w:rPr>
        <w:t xml:space="preserve"> una carpeta por proceso, numerada (01_, 02_…), con la misma estructura interna.</w:t>
      </w:r>
    </w:p>
    <w:p>
      <w:pPr>
        <w:pStyle w:val="ListBullet"/>
        <w:spacing w:after="40"/>
      </w:pPr>
      <w:r>
        <w:rPr>
          <w:b/>
        </w:rPr>
        <w:t>Nombres de archivo:</w:t>
      </w:r>
      <w:r>
        <w:rPr>
          <w:b w:val="0"/>
        </w:rPr>
        <w:t xml:space="preserve"> minúsculas y guiones, descriptivos. Minutas con fecha y número: 2026-09-30_R2_minuta.docx.</w:t>
      </w:r>
    </w:p>
    <w:p>
      <w:pPr>
        <w:pStyle w:val="ListBullet"/>
        <w:spacing w:after="40"/>
      </w:pPr>
      <w:r>
        <w:rPr>
          <w:b/>
        </w:rPr>
        <w:t>Versiones:</w:t>
      </w:r>
      <w:r>
        <w:rPr>
          <w:b w:val="0"/>
        </w:rPr>
        <w:t xml:space="preserve"> v0.x mientras es borrador; v1.0 cuando lo aprueba el gerente del área. Cada documento cierra con un registro de cambios.</w:t>
      </w:r>
    </w:p>
    <w:p>
      <w:pPr>
        <w:pStyle w:val="ListBullet"/>
        <w:spacing w:after="40"/>
      </w:pPr>
      <w:r>
        <w:rPr>
          <w:b/>
        </w:rPr>
        <w:t>Hitos:</w:t>
      </w:r>
      <w:r>
        <w:rPr>
          <w:b w:val="0"/>
        </w:rPr>
        <w:t xml:space="preserve"> se usa la misma numeración en matrices, BPMN y minutas. Estados: Resuelto / A definir / Propuesto – a validar.</w:t>
      </w:r>
    </w:p>
    <w:p>
      <w:pPr>
        <w:pStyle w:val="ListBullet"/>
        <w:spacing w:after="40"/>
      </w:pPr>
      <w:r>
        <w:rPr>
          <w:b/>
        </w:rPr>
        <w:t>Marcas en el BPMN:</w:t>
      </w:r>
      <w:r>
        <w:rPr>
          <w:b w:val="0"/>
        </w:rPr>
        <w:t xml:space="preserve"> anotaciones "A definir (Rn)", "Problema (Rn)" y "Propuesta (Rn)" indicando la reunión de origen.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Nomenclatura de áreas (lanes y organigrama)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041"/>
        <w:gridCol w:w="3402"/>
        <w:gridCol w:w="3969"/>
      </w:tblGrid>
      <w:tr>
        <w:trPr>
          <w:tblHeader w:val="true"/>
        </w:trPr>
        <w:tc>
          <w:tcPr>
            <w:tcW w:type="dxa" w:w="2041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402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Depende de</w:t>
            </w:r>
          </w:p>
        </w:tc>
        <w:tc>
          <w:tcPr>
            <w:tcW w:type="dxa" w:w="3969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204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Ventas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Gerencia de Comercialización y Marketing (a confirmar)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Atención al Cliente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Gerencia de Administración y Finanzas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Gestiona el alta administrativa y el cobro inicial.</w:t>
            </w:r>
          </w:p>
        </w:tc>
      </w:tr>
      <w:tr>
        <w:tc>
          <w:tcPr>
            <w:tcW w:type="dxa" w:w="204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Instalaciones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 confirmar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Servicio Técnico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 confirmar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Área distinta de Instalaciones.</w:t>
            </w:r>
          </w:p>
        </w:tc>
      </w:tr>
      <w:tr>
        <w:tc>
          <w:tcPr>
            <w:tcW w:type="dxa" w:w="204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Posventa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 confirmar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Control de calidad y satisfacción; deriva, no ejecuta.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Ampliaciones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 confirmar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Propuesta; fuera del alcance de "Nuevos clientes".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Herramientas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928"/>
        <w:gridCol w:w="2381"/>
        <w:gridCol w:w="5102"/>
      </w:tblGrid>
      <w:tr>
        <w:trPr>
          <w:tblHeader w:val="true"/>
        </w:trPr>
        <w:tc>
          <w:tcPr>
            <w:tcW w:type="dxa" w:w="1928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Uso</w:t>
            </w:r>
          </w:p>
        </w:tc>
        <w:tc>
          <w:tcPr>
            <w:tcW w:type="dxa" w:w="2381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5102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Modelar BPMN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bpmn-js (bpmn.io)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Editor local en 00_Metodologia/Herramientas/bpmn-editor. Luego el mismo editor se integra en la web interna.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Documentos y matrices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Word / Excel en Google Drive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Unidad compartida "Procesos SP". Se editan online sin convertir y se siguen trabajando localmente.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Publicación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Web interna (Coolify)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Índice de procesos y una página por proceso con los documentos insertados.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Datos y versiones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Supabase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Tablas de procesos e historial de BPMN, almacenamiento de archivos y acceso con Google.</w:t>
            </w:r>
          </w:p>
        </w:tc>
      </w:tr>
      <w:tr>
        <w:tc>
          <w:tcPr>
            <w:tcW w:type="dxa" w:w="19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Implementación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GHL / NetSuite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Workflows, etapas y mensajes automáticos según los hitos.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Publicación en la web interna</w:t>
      </w:r>
    </w:p>
    <w:p>
      <w:pPr>
        <w:pStyle w:val="ListBullet"/>
        <w:spacing w:after="40"/>
      </w:pPr>
      <w:r>
        <w:rPr>
          <w:b/>
        </w:rPr>
        <w:t>Documentos:</w:t>
      </w:r>
      <w:r>
        <w:rPr>
          <w:b w:val="0"/>
        </w:rPr>
        <w:t xml:space="preserve"> insertados desde Drive con el enlace de vista previa; siempre muestran la última versión.</w:t>
      </w:r>
    </w:p>
    <w:p>
      <w:pPr>
        <w:pStyle w:val="ListBullet"/>
        <w:spacing w:after="40"/>
      </w:pPr>
      <w:r>
        <w:rPr>
          <w:b/>
        </w:rPr>
        <w:t>Diagramas:</w:t>
      </w:r>
      <w:r>
        <w:rPr>
          <w:b w:val="0"/>
        </w:rPr>
        <w:t xml:space="preserve"> visor bpmn-js que carga el .bpmn desde Supabase; interactivo (zoom, subprocesos).</w:t>
      </w:r>
    </w:p>
    <w:p>
      <w:pPr>
        <w:pStyle w:val="ListBullet"/>
        <w:spacing w:after="40"/>
      </w:pPr>
      <w:r>
        <w:rPr>
          <w:b/>
        </w:rPr>
        <w:t>Acceso:</w:t>
      </w:r>
      <w:r>
        <w:rPr>
          <w:b w:val="0"/>
        </w:rPr>
        <w:t xml:space="preserve"> ingreso con cuenta Google de SP. Todos leen; solo el equipo de Proceso y Mejora Continua edita.</w:t>
      </w:r>
    </w:p>
    <w:p>
      <w:pPr>
        <w:pStyle w:val="ListBullet"/>
        <w:spacing w:after="40"/>
      </w:pPr>
      <w:r>
        <w:rPr>
          <w:b/>
        </w:rPr>
        <w:t>Versiones de BPMN:</w:t>
      </w:r>
      <w:r>
        <w:rPr>
          <w:b w:val="0"/>
        </w:rPr>
        <w:t xml:space="preserve"> cada guardado queda registrado y se puede volver a una versión anterior.</w:t>
      </w:r>
    </w:p>
    <w:p>
      <w:pPr>
        <w:pStyle w:val="ListBullet"/>
        <w:spacing w:after="40"/>
      </w:pPr>
      <w:r>
        <w:rPr>
          <w:b/>
        </w:rPr>
        <w:t>No se usa "Publicar en la web" de Google:</w:t>
      </w:r>
      <w:r>
        <w:rPr>
          <w:b w:val="0"/>
        </w:rPr>
        <w:t xml:space="preserve"> deja el contenido abierto a cualquiera con el enlace.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Comunicación</w:t>
      </w:r>
    </w:p>
    <w:p>
      <w:pPr>
        <w:pStyle w:val="ListBullet"/>
        <w:spacing w:after="40"/>
      </w:pPr>
      <w:r>
        <w:rPr>
          <w:b w:val="0"/>
        </w:rPr>
        <w:t>La minuta se circula dentro de las 48 hs y los participantes la validan o corrigen.</w:t>
      </w:r>
    </w:p>
    <w:p>
      <w:pPr>
        <w:pStyle w:val="ListBullet"/>
        <w:spacing w:after="40"/>
      </w:pPr>
      <w:r>
        <w:rPr>
          <w:b w:val="0"/>
        </w:rPr>
        <w:t>Los cambios aprobados se reflejan en matrices y BPMN antes de la siguiente reunión.</w:t>
      </w:r>
    </w:p>
    <w:p>
      <w:pPr>
        <w:pStyle w:val="ListBullet"/>
        <w:spacing w:after="40"/>
      </w:pPr>
      <w:r>
        <w:rPr>
          <w:b w:val="0"/>
        </w:rPr>
        <w:t>Cada documento publicado indica versión, fecha y responsable.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Plan de implementación de la web interna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041"/>
        <w:gridCol w:w="5669"/>
        <w:gridCol w:w="1701"/>
      </w:tblGrid>
      <w:tr>
        <w:trPr>
          <w:tblHeader w:val="true"/>
        </w:trPr>
        <w:tc>
          <w:tcPr>
            <w:tcW w:type="dxa" w:w="2041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5669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Tareas</w:t>
            </w:r>
          </w:p>
        </w:tc>
        <w:tc>
          <w:tcPr>
            <w:tcW w:type="dxa" w:w="1701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04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 Drive</w:t>
            </w:r>
          </w:p>
        </w:tc>
        <w:tc>
          <w:tcPr>
            <w:tcW w:type="dxa" w:w="5669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Crear la unidad compartida con la misma estructura y mover el proyecto.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Pendiente</w:t>
            </w:r>
          </w:p>
        </w:tc>
      </w:tr>
      <w:tr>
        <w:tc>
          <w:tcPr>
            <w:tcW w:type="dxa" w:w="204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2. Supabase</w:t>
            </w:r>
          </w:p>
        </w:tc>
        <w:tc>
          <w:tcPr>
            <w:tcW w:type="dxa" w:w="5669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Tablas (procesos, versiones BPMN), almacenamiento, permisos e ingreso con Google.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Pendiente</w:t>
            </w:r>
          </w:p>
        </w:tc>
      </w:tr>
      <w:tr>
        <w:tc>
          <w:tcPr>
            <w:tcW w:type="dxa" w:w="204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3. Sitio (primera versión)</w:t>
            </w:r>
          </w:p>
        </w:tc>
        <w:tc>
          <w:tcPr>
            <w:tcW w:type="dxa" w:w="5669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Índice y página por proceso (Ficha, Diagrama, Matrices, Funciones, Minutas) en Coolify.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Pendiente</w:t>
            </w:r>
          </w:p>
        </w:tc>
      </w:tr>
      <w:tr>
        <w:tc>
          <w:tcPr>
            <w:tcW w:type="dxa" w:w="204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4. Editor BPMN web</w:t>
            </w:r>
          </w:p>
        </w:tc>
        <w:tc>
          <w:tcPr>
            <w:tcW w:type="dxa" w:w="5669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Editar, guardar versiones e historial.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Pendiente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5. Metodología publicada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Esta guía y las plantillas en el sitio.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Pendiente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9"/>
        </w:rPr>
        <w:t>Se implementa cuando el primer proceso tenga contenido definido en los documentos locales. Mientras tanto se trabaja localmente con las mismas herramientas (bpmn-js, Word, Excel).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Registro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134"/>
        <w:gridCol w:w="1701"/>
        <w:gridCol w:w="6576"/>
      </w:tblGrid>
      <w:tr>
        <w:trPr>
          <w:tblHeader w:val="true"/>
        </w:trPr>
        <w:tc>
          <w:tcPr>
            <w:tcW w:type="dxa" w:w="1134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701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6576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v0.1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30/09/2026</w:t>
            </w:r>
          </w:p>
        </w:tc>
        <w:tc>
          <w:tcPr>
            <w:tcW w:type="dxa" w:w="65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Primera versión.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95959"/>
        <w:sz w:val="16"/>
      </w:rPr>
      <w:t>SP Seguridad Privada · Guía de documentación de procesos ·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