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864"/>
          <w:sz w:val="36"/>
          <w:szCs w:val="36"/>
        </w:rPr>
        <w:t xml:space="preserve">Definición de responsabilidades entre áreas — Detalle</w:t>
      </w:r>
    </w:p>
    <w:p>
      <w:pPr>
        <w:spacing w:after="40"/>
      </w:pPr>
      <w:r>
        <w:rPr>
          <w:rFonts w:ascii="Calibri" w:cs="Calibri" w:eastAsia="Calibri" w:hAnsi="Calibri"/>
          <w:b/>
          <w:bCs/>
          <w:color w:val="2E5395"/>
          <w:sz w:val="22"/>
          <w:szCs w:val="22"/>
        </w:rPr>
        <w:t xml:space="preserve">Proceso: Nuevos clientes con instalación de alarmas y/o cámaras</w:t>
      </w:r>
    </w:p>
    <w:p>
      <w:pPr>
        <w:spacing w:after="300"/>
      </w:pPr>
      <w:r>
        <w:rPr>
          <w:rFonts w:ascii="Calibri" w:cs="Calibri" w:eastAsia="Calibri" w:hAnsi="Calibri"/>
          <w:i/>
          <w:iCs/>
          <w:color w:val="595959"/>
          <w:sz w:val="19"/>
          <w:szCs w:val="19"/>
        </w:rPr>
        <w:t xml:space="preserve">Documento de referencia con el detalle completo de cada pregunta y su contexto. Para la reunión, usar la versión resumida: preguntas-reunion-responsabilidades.docx.</w:t>
      </w:r>
    </w:p>
    <w:p>
      <w:pPr>
        <w:pBdr>
          <w:left w:val="single" w:color="1F3864" w:sz="24" w:space="8"/>
        </w:pBdr>
        <w:spacing w:after="140" w:before="300"/>
        <w:ind w:left="120"/>
      </w:pPr>
      <w:r>
        <w:rPr>
          <w:rFonts w:ascii="Calibri" w:cs="Calibri" w:eastAsia="Calibri" w:hAnsi="Calibri"/>
          <w:b/>
          <w:bCs/>
          <w:color w:val="1F3864"/>
          <w:sz w:val="26"/>
          <w:szCs w:val="26"/>
        </w:rPr>
        <w:t xml:space="preserve">Diagnóstico</w:t>
      </w:r>
    </w:p>
    <w:p>
      <w:pPr>
        <w:spacing w:after="120"/>
      </w:pPr>
      <w:r>
        <w:rPr>
          <w:rFonts w:ascii="Calibri" w:cs="Calibri" w:eastAsia="Calibri" w:hAnsi="Calibri"/>
          <w:sz w:val="21"/>
          <w:szCs w:val="21"/>
        </w:rPr>
        <w:t xml:space="preserve">Hay roces recurrentes en la comunicación con el cliente durante la coordinación de la instalación y en situaciones posteriores a su finalización. La causa no es falta de comunicación en sí, sino la ausencia de hitos formales que delimiten dónde termina la responsabilidad de un área y empieza la de otra.</w:t>
      </w:r>
    </w:p>
    <w:p>
      <w:pPr>
        <w:spacing w:after="120"/>
      </w:pPr>
      <w:r>
        <w:rPr>
          <w:rFonts w:ascii="Calibri" w:cs="Calibri" w:eastAsia="Calibri" w:hAnsi="Calibri"/>
          <w:sz w:val="21"/>
          <w:szCs w:val="21"/>
        </w:rPr>
        <w:t xml:space="preserve">Como consecuencia: Ventas es hoy el único canal "vivo" con el cliente y termina recibiendo consultas y reclamos que no le corresponden, sin un medio definido para canalizarlos. Posventa, que tiene el mandato de control de calidad y satisfacción del cliente, termina asistiendo pendientes de instalación que en rigor son responsabilidad de Servicio Técnico, quedando Ventas como intermediario en el medio. Y el cliente, en varios momentos del proceso, no tiene claro a quién debe recurrir.</w:t>
      </w:r>
    </w:p>
    <w:p>
      <w:pPr>
        <w:pBdr>
          <w:left w:val="single" w:color="1F3864" w:sz="24" w:space="8"/>
        </w:pBdr>
        <w:spacing w:after="140" w:before="300"/>
        <w:ind w:left="120"/>
      </w:pPr>
      <w:r>
        <w:rPr>
          <w:rFonts w:ascii="Calibri" w:cs="Calibri" w:eastAsia="Calibri" w:hAnsi="Calibri"/>
          <w:b/>
          <w:bCs/>
          <w:color w:val="1F3864"/>
          <w:sz w:val="26"/>
          <w:szCs w:val="26"/>
        </w:rPr>
        <w:t xml:space="preserve">Hitos ya resueltos</w:t>
      </w:r>
    </w:p>
    <w:p>
      <w:pPr>
        <w:spacing w:after="120"/>
      </w:pPr>
      <w:r>
        <w:rPr>
          <w:rFonts w:ascii="Calibri" w:cs="Calibri" w:eastAsia="Calibri" w:hAnsi="Calibri"/>
          <w:i/>
          <w:iCs/>
          <w:color w:val="595959"/>
          <w:sz w:val="19"/>
          <w:szCs w:val="19"/>
        </w:rPr>
        <w:t xml:space="preserve">No requieren discusión en la reunión — se incluyen para que el mapa del proceso quede completo.</w:t>
      </w:r>
    </w:p>
    <w:p>
      <w:pPr>
        <w:spacing w:after="90"/>
        <w:ind w:left="200" w:hanging="200"/>
      </w:pPr>
      <w:r>
        <w:rPr>
          <w:rFonts w:ascii="Calibri" w:cs="Calibri" w:eastAsia="Calibri" w:hAnsi="Calibri"/>
          <w:b/>
          <w:bCs/>
          <w:color w:val="1F3864"/>
          <w:sz w:val="20"/>
          <w:szCs w:val="20"/>
        </w:rPr>
        <w:t xml:space="preserve">1.  </w:t>
      </w:r>
      <w:r>
        <w:rPr>
          <w:rFonts w:ascii="Calibri" w:cs="Calibri" w:eastAsia="Calibri" w:hAnsi="Calibri"/>
          <w:b/>
          <w:bCs/>
          <w:sz w:val="20"/>
          <w:szCs w:val="20"/>
        </w:rPr>
        <w:t xml:space="preserve">Cierre de la venta (negociación y contrato). </w:t>
      </w:r>
      <w:r>
        <w:rPr>
          <w:rFonts w:ascii="Calibri" w:cs="Calibri" w:eastAsia="Calibri" w:hAnsi="Calibri"/>
          <w:b/>
          <w:bCs/>
          <w:color w:val="1E7A34"/>
          <w:sz w:val="20"/>
          <w:szCs w:val="20"/>
        </w:rPr>
        <w:t xml:space="preserve">— Resuelto. </w:t>
      </w:r>
      <w:r>
        <w:rPr>
          <w:rFonts w:ascii="Calibri" w:cs="Calibri" w:eastAsia="Calibri" w:hAnsi="Calibri"/>
          <w:sz w:val="20"/>
          <w:szCs w:val="20"/>
        </w:rPr>
        <w:t xml:space="preserve">Ventas cierra la negociación con el cliente.</w:t>
      </w:r>
    </w:p>
    <w:p>
      <w:pPr>
        <w:spacing w:after="90"/>
        <w:ind w:left="200" w:hanging="200"/>
      </w:pPr>
      <w:r>
        <w:rPr>
          <w:rFonts w:ascii="Calibri" w:cs="Calibri" w:eastAsia="Calibri" w:hAnsi="Calibri"/>
          <w:b/>
          <w:bCs/>
          <w:color w:val="1F3864"/>
          <w:sz w:val="20"/>
          <w:szCs w:val="20"/>
        </w:rPr>
        <w:t xml:space="preserve">2.  </w:t>
      </w:r>
      <w:r>
        <w:rPr>
          <w:rFonts w:ascii="Calibri" w:cs="Calibri" w:eastAsia="Calibri" w:hAnsi="Calibri"/>
          <w:b/>
          <w:bCs/>
          <w:sz w:val="20"/>
          <w:szCs w:val="20"/>
        </w:rPr>
        <w:t xml:space="preserve">Cobro del 100% y generación automática del caso de instalación en NetSuite. </w:t>
      </w:r>
      <w:r>
        <w:rPr>
          <w:rFonts w:ascii="Calibri" w:cs="Calibri" w:eastAsia="Calibri" w:hAnsi="Calibri"/>
          <w:b/>
          <w:bCs/>
          <w:color w:val="1E7A34"/>
          <w:sz w:val="20"/>
          <w:szCs w:val="20"/>
        </w:rPr>
        <w:t xml:space="preserve">— Resuelto. </w:t>
      </w:r>
      <w:r>
        <w:rPr>
          <w:rFonts w:ascii="Calibri" w:cs="Calibri" w:eastAsia="Calibri" w:hAnsi="Calibri"/>
          <w:sz w:val="20"/>
          <w:szCs w:val="20"/>
        </w:rPr>
        <w:t xml:space="preserve">El cliente siempre paga el 100% por adelantado. Administración procesa el cobro y el sistema genera automáticamente el caso de instalación, que Instalaciones recibe con visibilidad inmediata — es un hito de sistema, objetivo, que no depende de que alguien avise informalmente.</w:t>
      </w:r>
    </w:p>
    <w:p>
      <w:pPr>
        <w:spacing w:after="90"/>
        <w:ind w:left="200" w:hanging="200"/>
      </w:pPr>
      <w:r>
        <w:rPr>
          <w:rFonts w:ascii="Calibri" w:cs="Calibri" w:eastAsia="Calibri" w:hAnsi="Calibri"/>
          <w:b/>
          <w:bCs/>
          <w:color w:val="1F3864"/>
          <w:sz w:val="20"/>
          <w:szCs w:val="20"/>
        </w:rPr>
        <w:t xml:space="preserve">5.  </w:t>
      </w:r>
      <w:r>
        <w:rPr>
          <w:rFonts w:ascii="Calibri" w:cs="Calibri" w:eastAsia="Calibri" w:hAnsi="Calibri"/>
          <w:b/>
          <w:bCs/>
          <w:sz w:val="20"/>
          <w:szCs w:val="20"/>
        </w:rPr>
        <w:t xml:space="preserve">Ejecución de la instalación. </w:t>
      </w:r>
      <w:r>
        <w:rPr>
          <w:rFonts w:ascii="Calibri" w:cs="Calibri" w:eastAsia="Calibri" w:hAnsi="Calibri"/>
          <w:b/>
          <w:bCs/>
          <w:color w:val="1E7A34"/>
          <w:sz w:val="20"/>
          <w:szCs w:val="20"/>
        </w:rPr>
        <w:t xml:space="preserve">— Resuelto. </w:t>
      </w:r>
      <w:r>
        <w:rPr>
          <w:rFonts w:ascii="Calibri" w:cs="Calibri" w:eastAsia="Calibri" w:hAnsi="Calibri"/>
          <w:sz w:val="20"/>
          <w:szCs w:val="20"/>
        </w:rPr>
        <w:t xml:space="preserve">A cargo de Instalaciones.</w:t>
      </w:r>
    </w:p>
    <w:p>
      <w:pPr>
        <w:spacing w:after="90"/>
        <w:ind w:left="200" w:hanging="200"/>
      </w:pPr>
      <w:r>
        <w:rPr>
          <w:rFonts w:ascii="Calibri" w:cs="Calibri" w:eastAsia="Calibri" w:hAnsi="Calibri"/>
          <w:b/>
          <w:bCs/>
          <w:color w:val="1F3864"/>
          <w:sz w:val="20"/>
          <w:szCs w:val="20"/>
        </w:rPr>
        <w:t xml:space="preserve">6.  </w:t>
      </w:r>
      <w:r>
        <w:rPr>
          <w:rFonts w:ascii="Calibri" w:cs="Calibri" w:eastAsia="Calibri" w:hAnsi="Calibri"/>
          <w:b/>
          <w:bCs/>
          <w:sz w:val="20"/>
          <w:szCs w:val="20"/>
        </w:rPr>
        <w:t xml:space="preserve">Cierre de la instalación y firma del acta de conformidad. </w:t>
      </w:r>
      <w:r>
        <w:rPr>
          <w:rFonts w:ascii="Calibri" w:cs="Calibri" w:eastAsia="Calibri" w:hAnsi="Calibri"/>
          <w:b/>
          <w:bCs/>
          <w:color w:val="1E7A34"/>
          <w:sz w:val="20"/>
          <w:szCs w:val="20"/>
        </w:rPr>
        <w:t xml:space="preserve">— Resuelto. </w:t>
      </w:r>
      <w:r>
        <w:rPr>
          <w:rFonts w:ascii="Calibri" w:cs="Calibri" w:eastAsia="Calibri" w:hAnsi="Calibri"/>
          <w:sz w:val="20"/>
          <w:szCs w:val="20"/>
        </w:rPr>
        <w:t xml:space="preserve">Existe un acta y se usa siempre — no es un problema de adopción.</w:t>
      </w:r>
    </w:p>
    <w:p>
      <w:pPr>
        <w:spacing w:after="90"/>
        <w:ind w:left="200" w:hanging="200"/>
      </w:pPr>
      <w:r>
        <w:rPr>
          <w:rFonts w:ascii="Calibri" w:cs="Calibri" w:eastAsia="Calibri" w:hAnsi="Calibri"/>
          <w:b/>
          <w:bCs/>
          <w:color w:val="1F3864"/>
          <w:sz w:val="20"/>
          <w:szCs w:val="20"/>
        </w:rPr>
        <w:t xml:space="preserve">9.  </w:t>
      </w:r>
      <w:r>
        <w:rPr>
          <w:rFonts w:ascii="Calibri" w:cs="Calibri" w:eastAsia="Calibri" w:hAnsi="Calibri"/>
          <w:b/>
          <w:bCs/>
          <w:sz w:val="20"/>
          <w:szCs w:val="20"/>
        </w:rPr>
        <w:t xml:space="preserve">Control de calidad y encuesta de satisfacción. </w:t>
      </w:r>
      <w:r>
        <w:rPr>
          <w:rFonts w:ascii="Calibri" w:cs="Calibri" w:eastAsia="Calibri" w:hAnsi="Calibri"/>
          <w:b/>
          <w:bCs/>
          <w:color w:val="1E7A34"/>
          <w:sz w:val="20"/>
          <w:szCs w:val="20"/>
        </w:rPr>
        <w:t xml:space="preserve">— Resuelto. </w:t>
      </w:r>
      <w:r>
        <w:rPr>
          <w:rFonts w:ascii="Calibri" w:cs="Calibri" w:eastAsia="Calibri" w:hAnsi="Calibri"/>
          <w:sz w:val="20"/>
          <w:szCs w:val="20"/>
        </w:rPr>
        <w:t xml:space="preserve">Posventa contacta al cliente; es su mandato principal y el cliente lo conoce desde el cierre de la venta.</w:t>
      </w:r>
    </w:p>
    <w:p>
      <w:pPr>
        <w:spacing w:after="90"/>
        <w:ind w:left="200" w:hanging="200"/>
      </w:pPr>
      <w:r>
        <w:rPr>
          <w:rFonts w:ascii="Calibri" w:cs="Calibri" w:eastAsia="Calibri" w:hAnsi="Calibri"/>
          <w:b/>
          <w:bCs/>
          <w:color w:val="1F3864"/>
          <w:sz w:val="20"/>
          <w:szCs w:val="20"/>
        </w:rPr>
        <w:t xml:space="preserve">13.  </w:t>
      </w:r>
      <w:r>
        <w:rPr>
          <w:rFonts w:ascii="Calibri" w:cs="Calibri" w:eastAsia="Calibri" w:hAnsi="Calibri"/>
          <w:b/>
          <w:bCs/>
          <w:sz w:val="20"/>
          <w:szCs w:val="20"/>
        </w:rPr>
        <w:t xml:space="preserve">Resolución de una situación administrativa derivada por Posventa. </w:t>
      </w:r>
      <w:r>
        <w:rPr>
          <w:rFonts w:ascii="Calibri" w:cs="Calibri" w:eastAsia="Calibri" w:hAnsi="Calibri"/>
          <w:b/>
          <w:bCs/>
          <w:color w:val="1E7A34"/>
          <w:sz w:val="20"/>
          <w:szCs w:val="20"/>
        </w:rPr>
        <w:t xml:space="preserve">— Resuelto. </w:t>
      </w:r>
      <w:r>
        <w:rPr>
          <w:rFonts w:ascii="Calibri" w:cs="Calibri" w:eastAsia="Calibri" w:hAnsi="Calibri"/>
          <w:sz w:val="20"/>
          <w:szCs w:val="20"/>
        </w:rPr>
        <w:t xml:space="preserve">Cuando Posventa detecta una situación administrativa (por ejemplo, saldo de deuda — caso poco frecuente), deriva a Administración, que actúa como área de apoyo. Posventa deriva, no ejecuta.</w:t>
      </w:r>
    </w:p>
    <w:p>
      <w:pPr>
        <w:pBdr>
          <w:left w:val="single" w:color="1F3864" w:sz="24" w:space="8"/>
        </w:pBdr>
        <w:spacing w:after="140" w:before="300"/>
        <w:ind w:left="120"/>
      </w:pPr>
      <w:r>
        <w:rPr>
          <w:rFonts w:ascii="Calibri" w:cs="Calibri" w:eastAsia="Calibri" w:hAnsi="Calibri"/>
          <w:b/>
          <w:bCs/>
          <w:color w:val="1F3864"/>
          <w:sz w:val="26"/>
          <w:szCs w:val="26"/>
        </w:rPr>
        <w:t xml:space="preserve">Preguntas en detalle, por hito</w:t>
      </w:r>
    </w:p>
    <w:p>
      <w:pPr>
        <w:spacing w:after="60" w:before="240"/>
      </w:pPr>
      <w:r>
        <w:rPr>
          <w:rFonts w:ascii="Calibri" w:cs="Calibri" w:eastAsia="Calibri" w:hAnsi="Calibri"/>
          <w:b/>
          <w:bCs/>
          <w:color w:val="1F3864"/>
          <w:sz w:val="23"/>
          <w:szCs w:val="23"/>
        </w:rPr>
        <w:t xml:space="preserve">Hito 3 — </w:t>
      </w:r>
      <w:r>
        <w:rPr>
          <w:rFonts w:ascii="Calibri" w:cs="Calibri" w:eastAsia="Calibri" w:hAnsi="Calibri"/>
          <w:b/>
          <w:bCs/>
          <w:color w:val="2E5395"/>
          <w:sz w:val="23"/>
          <w:szCs w:val="23"/>
        </w:rPr>
        <w:t xml:space="preserve">Coordinación de la fecha de instalación con el cliente</w:t>
      </w:r>
    </w:p>
    <w:p>
      <w:pPr>
        <w:spacing w:after="100"/>
      </w:pPr>
      <w:r>
        <w:rPr>
          <w:rFonts w:ascii="Calibri" w:cs="Calibri" w:eastAsia="Calibri" w:hAnsi="Calibri"/>
          <w:b/>
          <w:bCs/>
          <w:i/>
          <w:iCs/>
          <w:color w:val="595959"/>
          <w:sz w:val="19"/>
          <w:szCs w:val="19"/>
        </w:rPr>
        <w:t xml:space="preserve">Por qué importa: </w:t>
      </w:r>
      <w:r>
        <w:rPr>
          <w:rFonts w:ascii="Calibri" w:cs="Calibri" w:eastAsia="Calibri" w:hAnsi="Calibri"/>
          <w:i/>
          <w:iCs/>
          <w:color w:val="595959"/>
          <w:sz w:val="19"/>
          <w:szCs w:val="19"/>
        </w:rPr>
        <w:t xml:space="preserve">Instalaciones ya tiene visibilidad inmediata del caso al crearse (eso está resuelto). Falta definir el rol humano: quién coordina la fecha con el cliente.</w:t>
      </w:r>
    </w:p>
    <w:p>
      <w:pPr>
        <w:spacing w:after="140"/>
        <w:ind w:left="200" w:hanging="200"/>
      </w:pPr>
      <w:r>
        <w:rPr>
          <w:rFonts w:ascii="Calibri" w:cs="Calibri" w:eastAsia="Calibri" w:hAnsi="Calibri"/>
          <w:b/>
          <w:bCs/>
          <w:color w:val="1F3864"/>
          <w:sz w:val="21"/>
          <w:szCs w:val="21"/>
        </w:rPr>
        <w:t xml:space="preserve">1.  </w:t>
      </w:r>
      <w:r>
        <w:rPr>
          <w:rFonts w:ascii="Calibri" w:cs="Calibri" w:eastAsia="Calibri" w:hAnsi="Calibri"/>
          <w:sz w:val="21"/>
          <w:szCs w:val="21"/>
        </w:rPr>
        <w:t xml:space="preserve">¿Quién debería coordinar la fecha de instalación con el cliente: Ventas al cerrar la venta (con una fecha tentativa), o Instalaciones apenas recibe el caso?</w:t>
      </w:r>
    </w:p>
    <w:p>
      <w:pPr>
        <w:spacing w:after="140"/>
        <w:ind w:left="200" w:hanging="200"/>
      </w:pPr>
      <w:r>
        <w:rPr>
          <w:rFonts w:ascii="Calibri" w:cs="Calibri" w:eastAsia="Calibri" w:hAnsi="Calibri"/>
          <w:b/>
          <w:bCs/>
          <w:color w:val="1F3864"/>
          <w:sz w:val="21"/>
          <w:szCs w:val="21"/>
        </w:rPr>
        <w:t xml:space="preserve">2.  </w:t>
      </w:r>
      <w:r>
        <w:rPr>
          <w:rFonts w:ascii="Calibri" w:cs="Calibri" w:eastAsia="Calibri" w:hAnsi="Calibri"/>
          <w:sz w:val="21"/>
          <w:szCs w:val="21"/>
        </w:rPr>
        <w:t xml:space="preserve">¿Cómo se le comunica al cliente, desde el cierre de la venta, a quién debe recurrir en cada momento del proceso, para que no dependa de la costumbre o de a quién conoce?</w:t>
      </w:r>
    </w:p>
    <w:p>
      <w:pPr>
        <w:spacing w:after="60" w:before="240"/>
      </w:pPr>
      <w:r>
        <w:rPr>
          <w:rFonts w:ascii="Calibri" w:cs="Calibri" w:eastAsia="Calibri" w:hAnsi="Calibri"/>
          <w:b/>
          <w:bCs/>
          <w:color w:val="1F3864"/>
          <w:sz w:val="23"/>
          <w:szCs w:val="23"/>
        </w:rPr>
        <w:t xml:space="preserve">Hito 4 — </w:t>
      </w:r>
      <w:r>
        <w:rPr>
          <w:rFonts w:ascii="Calibri" w:cs="Calibri" w:eastAsia="Calibri" w:hAnsi="Calibri"/>
          <w:b/>
          <w:bCs/>
          <w:color w:val="2E5395"/>
          <w:sz w:val="23"/>
          <w:szCs w:val="23"/>
        </w:rPr>
        <w:t xml:space="preserve">Atención de consultas del cliente mientras no hay fecha confirmada</w:t>
      </w:r>
    </w:p>
    <w:p>
      <w:pPr>
        <w:spacing w:after="100"/>
      </w:pPr>
      <w:r>
        <w:rPr>
          <w:rFonts w:ascii="Calibri" w:cs="Calibri" w:eastAsia="Calibri" w:hAnsi="Calibri"/>
          <w:b/>
          <w:bCs/>
          <w:i/>
          <w:iCs/>
          <w:color w:val="595959"/>
          <w:sz w:val="19"/>
          <w:szCs w:val="19"/>
        </w:rPr>
        <w:t xml:space="preserve">Por qué importa: </w:t>
      </w:r>
      <w:r>
        <w:rPr>
          <w:rFonts w:ascii="Calibri" w:cs="Calibri" w:eastAsia="Calibri" w:hAnsi="Calibri"/>
          <w:i/>
          <w:iCs/>
          <w:color w:val="595959"/>
          <w:sz w:val="19"/>
          <w:szCs w:val="19"/>
        </w:rPr>
        <w:t xml:space="preserve">Es la "zona gris temporal" entre la venta cerrada y la instalación coordinada. Hoy el cliente no tiene claro a quién contactar — se confirmó como el punto de fricción más importante.</w:t>
      </w:r>
    </w:p>
    <w:p>
      <w:pPr>
        <w:spacing w:after="140"/>
        <w:ind w:left="200" w:hanging="200"/>
      </w:pPr>
      <w:r>
        <w:rPr>
          <w:rFonts w:ascii="Calibri" w:cs="Calibri" w:eastAsia="Calibri" w:hAnsi="Calibri"/>
          <w:b/>
          <w:bCs/>
          <w:color w:val="1F3864"/>
          <w:sz w:val="21"/>
          <w:szCs w:val="21"/>
        </w:rPr>
        <w:t xml:space="preserve">3.  </w:t>
      </w:r>
      <w:r>
        <w:rPr>
          <w:rFonts w:ascii="Calibri" w:cs="Calibri" w:eastAsia="Calibri" w:hAnsi="Calibri"/>
          <w:sz w:val="21"/>
          <w:szCs w:val="21"/>
        </w:rPr>
        <w:t xml:space="preserve">Mientras no hay una fecha confirmada, si el cliente llama preguntando por su instalación, ¿a quién debería llegar ese contacto?</w:t>
      </w:r>
    </w:p>
    <w:p>
      <w:pPr>
        <w:spacing w:after="60" w:before="240"/>
      </w:pPr>
      <w:r>
        <w:rPr>
          <w:rFonts w:ascii="Calibri" w:cs="Calibri" w:eastAsia="Calibri" w:hAnsi="Calibri"/>
          <w:b/>
          <w:bCs/>
          <w:color w:val="1F3864"/>
          <w:sz w:val="23"/>
          <w:szCs w:val="23"/>
        </w:rPr>
        <w:t xml:space="preserve">Hito 7 — </w:t>
      </w:r>
      <w:r>
        <w:rPr>
          <w:rFonts w:ascii="Calibri" w:cs="Calibri" w:eastAsia="Calibri" w:hAnsi="Calibri"/>
          <w:b/>
          <w:bCs/>
          <w:color w:val="2E5395"/>
          <w:sz w:val="23"/>
          <w:szCs w:val="23"/>
        </w:rPr>
        <w:t xml:space="preserve">Registro de pendientes en el acta con responsable y plazo asignado</w:t>
      </w:r>
    </w:p>
    <w:p>
      <w:pPr>
        <w:spacing w:after="100"/>
      </w:pPr>
      <w:r>
        <w:rPr>
          <w:rFonts w:ascii="Calibri" w:cs="Calibri" w:eastAsia="Calibri" w:hAnsi="Calibri"/>
          <w:b/>
          <w:bCs/>
          <w:i/>
          <w:iCs/>
          <w:color w:val="595959"/>
          <w:sz w:val="19"/>
          <w:szCs w:val="19"/>
        </w:rPr>
        <w:t xml:space="preserve">Por qué importa: </w:t>
      </w:r>
      <w:r>
        <w:rPr>
          <w:rFonts w:ascii="Calibri" w:cs="Calibri" w:eastAsia="Calibri" w:hAnsi="Calibri"/>
          <w:i/>
          <w:iCs/>
          <w:color w:val="595959"/>
          <w:sz w:val="19"/>
          <w:szCs w:val="19"/>
        </w:rPr>
        <w:t xml:space="preserve">El acta existe y se usa siempre, pero hoy solo registra qué queda pendiente — no quién es responsable ni para cuándo. Esos pendientes quedan en "tierra de nadie" y terminan cayendo en Posventa aunque sean de Servicio Técnico.</w:t>
      </w:r>
    </w:p>
    <w:p>
      <w:pPr>
        <w:spacing w:after="140"/>
        <w:ind w:left="200" w:hanging="200"/>
      </w:pPr>
      <w:r>
        <w:rPr>
          <w:rFonts w:ascii="Calibri" w:cs="Calibri" w:eastAsia="Calibri" w:hAnsi="Calibri"/>
          <w:b/>
          <w:bCs/>
          <w:color w:val="1F3864"/>
          <w:sz w:val="21"/>
          <w:szCs w:val="21"/>
        </w:rPr>
        <w:t xml:space="preserve">4.  </w:t>
      </w:r>
      <w:r>
        <w:rPr>
          <w:rFonts w:ascii="Calibri" w:cs="Calibri" w:eastAsia="Calibri" w:hAnsi="Calibri"/>
          <w:sz w:val="21"/>
          <w:szCs w:val="21"/>
        </w:rPr>
        <w:t xml:space="preserve">¿Se pueden sumar dos datos a cada pendiente que registra el acta — responsable y plazo — y quién los completa en el momento del cierre (el instalador, un supervisor)?</w:t>
      </w:r>
    </w:p>
    <w:p>
      <w:pPr>
        <w:spacing w:after="60" w:before="240"/>
      </w:pPr>
      <w:r>
        <w:rPr>
          <w:rFonts w:ascii="Calibri" w:cs="Calibri" w:eastAsia="Calibri" w:hAnsi="Calibri"/>
          <w:b/>
          <w:bCs/>
          <w:color w:val="1F3864"/>
          <w:sz w:val="23"/>
          <w:szCs w:val="23"/>
        </w:rPr>
        <w:t xml:space="preserve">Hito 8 — </w:t>
      </w:r>
      <w:r>
        <w:rPr>
          <w:rFonts w:ascii="Calibri" w:cs="Calibri" w:eastAsia="Calibri" w:hAnsi="Calibri"/>
          <w:b/>
          <w:bCs/>
          <w:color w:val="2E5395"/>
          <w:sz w:val="23"/>
          <w:szCs w:val="23"/>
        </w:rPr>
        <w:t xml:space="preserve">Comunicación de finalización / activación del sistema al cliente</w:t>
      </w:r>
    </w:p>
    <w:p>
      <w:pPr>
        <w:spacing w:after="100"/>
      </w:pPr>
      <w:r>
        <w:rPr>
          <w:rFonts w:ascii="Calibri" w:cs="Calibri" w:eastAsia="Calibri" w:hAnsi="Calibri"/>
          <w:b/>
          <w:bCs/>
          <w:i/>
          <w:iCs/>
          <w:color w:val="595959"/>
          <w:sz w:val="19"/>
          <w:szCs w:val="19"/>
        </w:rPr>
        <w:t xml:space="preserve">Por qué importa: </w:t>
      </w:r>
      <w:r>
        <w:rPr>
          <w:rFonts w:ascii="Calibri" w:cs="Calibri" w:eastAsia="Calibri" w:hAnsi="Calibri"/>
          <w:i/>
          <w:iCs/>
          <w:color w:val="595959"/>
          <w:sz w:val="19"/>
          <w:szCs w:val="19"/>
        </w:rPr>
        <w:t xml:space="preserve">No está confirmado si el acta deja claro para el cliente que el sistema queda activo, considerando que puede haber pasos posteriores (por ejemplo, la activación en la central de monitoreo) que demoren y no queden reflejados en ese momento.</w:t>
      </w:r>
    </w:p>
    <w:p>
      <w:pPr>
        <w:spacing w:after="140"/>
        <w:ind w:left="200" w:hanging="200"/>
      </w:pPr>
      <w:r>
        <w:rPr>
          <w:rFonts w:ascii="Calibri" w:cs="Calibri" w:eastAsia="Calibri" w:hAnsi="Calibri"/>
          <w:b/>
          <w:bCs/>
          <w:color w:val="1F3864"/>
          <w:sz w:val="21"/>
          <w:szCs w:val="21"/>
        </w:rPr>
        <w:t xml:space="preserve">5.  </w:t>
      </w:r>
      <w:r>
        <w:rPr>
          <w:rFonts w:ascii="Calibri" w:cs="Calibri" w:eastAsia="Calibri" w:hAnsi="Calibri"/>
          <w:sz w:val="21"/>
          <w:szCs w:val="21"/>
        </w:rPr>
        <w:t xml:space="preserve">¿El acta de conformidad deja claro para el cliente que el sistema queda activo, o hay pasos posteriores que pueden demorar y no quedan reflejados en ese momento?</w:t>
      </w:r>
    </w:p>
    <w:p>
      <w:pPr>
        <w:spacing w:after="140"/>
        <w:ind w:left="200" w:hanging="200"/>
      </w:pPr>
      <w:r>
        <w:rPr>
          <w:rFonts w:ascii="Calibri" w:cs="Calibri" w:eastAsia="Calibri" w:hAnsi="Calibri"/>
          <w:b/>
          <w:bCs/>
          <w:color w:val="1F3864"/>
          <w:sz w:val="21"/>
          <w:szCs w:val="21"/>
        </w:rPr>
        <w:t xml:space="preserve">6.  </w:t>
      </w:r>
      <w:r>
        <w:rPr>
          <w:rFonts w:ascii="Calibri" w:cs="Calibri" w:eastAsia="Calibri" w:hAnsi="Calibri"/>
          <w:sz w:val="21"/>
          <w:szCs w:val="21"/>
        </w:rPr>
        <w:t xml:space="preserve">¿En qué momento debería arrancar formalmente Posventa: al firmarse el acta, o una vez confirmado que todo está realmente operativo?</w:t>
      </w:r>
    </w:p>
    <w:p>
      <w:pPr>
        <w:spacing w:after="60" w:before="240"/>
      </w:pPr>
      <w:r>
        <w:rPr>
          <w:rFonts w:ascii="Calibri" w:cs="Calibri" w:eastAsia="Calibri" w:hAnsi="Calibri"/>
          <w:b/>
          <w:bCs/>
          <w:color w:val="1F3864"/>
          <w:sz w:val="23"/>
          <w:szCs w:val="23"/>
        </w:rPr>
        <w:t xml:space="preserve">Hito 10 — </w:t>
      </w:r>
      <w:r>
        <w:rPr>
          <w:rFonts w:ascii="Calibri" w:cs="Calibri" w:eastAsia="Calibri" w:hAnsi="Calibri"/>
          <w:b/>
          <w:bCs/>
          <w:color w:val="2E5395"/>
          <w:sz w:val="23"/>
          <w:szCs w:val="23"/>
        </w:rPr>
        <w:t xml:space="preserve">Clasificación y canalización de reclamos según tipo</w:t>
      </w:r>
    </w:p>
    <w:p>
      <w:pPr>
        <w:spacing w:after="100"/>
      </w:pPr>
      <w:r>
        <w:rPr>
          <w:rFonts w:ascii="Calibri" w:cs="Calibri" w:eastAsia="Calibri" w:hAnsi="Calibri"/>
          <w:b/>
          <w:bCs/>
          <w:i/>
          <w:iCs/>
          <w:color w:val="595959"/>
          <w:sz w:val="19"/>
          <w:szCs w:val="19"/>
        </w:rPr>
        <w:t xml:space="preserve">Por qué importa: </w:t>
      </w:r>
      <w:r>
        <w:rPr>
          <w:rFonts w:ascii="Calibri" w:cs="Calibri" w:eastAsia="Calibri" w:hAnsi="Calibri"/>
          <w:i/>
          <w:iCs/>
          <w:color w:val="595959"/>
          <w:sz w:val="19"/>
          <w:szCs w:val="19"/>
        </w:rPr>
        <w:t xml:space="preserve">Hoy los reclamos llegan por medios distintos (Ventas, teléfono, WhatsApp, etc.) y no todos pasan por Posventa. Posventa tiene el mandato de control de calidad y satisfacción, pero termina ejecutando pendientes que son de Servicio Técnico en lugar de derivarlos.</w:t>
      </w:r>
    </w:p>
    <w:p>
      <w:pPr>
        <w:spacing w:after="140"/>
        <w:ind w:left="200" w:hanging="200"/>
      </w:pPr>
      <w:r>
        <w:rPr>
          <w:rFonts w:ascii="Calibri" w:cs="Calibri" w:eastAsia="Calibri" w:hAnsi="Calibri"/>
          <w:b/>
          <w:bCs/>
          <w:color w:val="1F3864"/>
          <w:sz w:val="21"/>
          <w:szCs w:val="21"/>
        </w:rPr>
        <w:t xml:space="preserve">7.  </w:t>
      </w:r>
      <w:r>
        <w:rPr>
          <w:rFonts w:ascii="Calibri" w:cs="Calibri" w:eastAsia="Calibri" w:hAnsi="Calibri"/>
          <w:sz w:val="21"/>
          <w:szCs w:val="21"/>
        </w:rPr>
        <w:t xml:space="preserve">¿Se puede definir un canal único, o al menos un criterio claro según el tipo de solicitud (comercial, técnico o de servicio)?</w:t>
      </w:r>
    </w:p>
    <w:p>
      <w:pPr>
        <w:spacing w:after="140"/>
        <w:ind w:left="200" w:hanging="200"/>
      </w:pPr>
      <w:r>
        <w:rPr>
          <w:rFonts w:ascii="Calibri" w:cs="Calibri" w:eastAsia="Calibri" w:hAnsi="Calibri"/>
          <w:b/>
          <w:bCs/>
          <w:color w:val="1F3864"/>
          <w:sz w:val="21"/>
          <w:szCs w:val="21"/>
        </w:rPr>
        <w:t xml:space="preserve">8.  </w:t>
      </w:r>
      <w:r>
        <w:rPr>
          <w:rFonts w:ascii="Calibri" w:cs="Calibri" w:eastAsia="Calibri" w:hAnsi="Calibri"/>
          <w:sz w:val="21"/>
          <w:szCs w:val="21"/>
        </w:rPr>
        <w:t xml:space="preserve">¿Cómo se refuerza que Posventa derive los casos técnicos hacia Servicio Técnico en lugar de gestionarlos ella misma?</w:t>
      </w:r>
    </w:p>
    <w:p>
      <w:pPr>
        <w:spacing w:after="60" w:before="240"/>
      </w:pPr>
      <w:r>
        <w:rPr>
          <w:rFonts w:ascii="Calibri" w:cs="Calibri" w:eastAsia="Calibri" w:hAnsi="Calibri"/>
          <w:b/>
          <w:bCs/>
          <w:color w:val="1F3864"/>
          <w:sz w:val="23"/>
          <w:szCs w:val="23"/>
        </w:rPr>
        <w:t xml:space="preserve">Hito 11 — </w:t>
      </w:r>
      <w:r>
        <w:rPr>
          <w:rFonts w:ascii="Calibri" w:cs="Calibri" w:eastAsia="Calibri" w:hAnsi="Calibri"/>
          <w:b/>
          <w:bCs/>
          <w:color w:val="2E5395"/>
          <w:sz w:val="23"/>
          <w:szCs w:val="23"/>
        </w:rPr>
        <w:t xml:space="preserve">Escalación de un pendiente del acta no resuelto en el plazo acordado</w:t>
      </w:r>
    </w:p>
    <w:p>
      <w:pPr>
        <w:spacing w:after="100"/>
      </w:pPr>
      <w:r>
        <w:rPr>
          <w:rFonts w:ascii="Calibri" w:cs="Calibri" w:eastAsia="Calibri" w:hAnsi="Calibri"/>
          <w:b/>
          <w:bCs/>
          <w:i/>
          <w:iCs/>
          <w:color w:val="595959"/>
          <w:sz w:val="19"/>
          <w:szCs w:val="19"/>
        </w:rPr>
        <w:t xml:space="preserve">Por qué importa: </w:t>
      </w:r>
      <w:r>
        <w:rPr>
          <w:rFonts w:ascii="Calibri" w:cs="Calibri" w:eastAsia="Calibri" w:hAnsi="Calibri"/>
          <w:i/>
          <w:iCs/>
          <w:color w:val="595959"/>
          <w:sz w:val="19"/>
          <w:szCs w:val="19"/>
        </w:rPr>
        <w:t xml:space="preserve">Una vez definido el plazo (hito 7), falta el mecanismo de qué pasa si se vence sin resolverse.</w:t>
      </w:r>
    </w:p>
    <w:p>
      <w:pPr>
        <w:spacing w:after="140"/>
        <w:ind w:left="200" w:hanging="200"/>
      </w:pPr>
      <w:r>
        <w:rPr>
          <w:rFonts w:ascii="Calibri" w:cs="Calibri" w:eastAsia="Calibri" w:hAnsi="Calibri"/>
          <w:b/>
          <w:bCs/>
          <w:color w:val="1F3864"/>
          <w:sz w:val="21"/>
          <w:szCs w:val="21"/>
        </w:rPr>
        <w:t xml:space="preserve">9.  </w:t>
      </w:r>
      <w:r>
        <w:rPr>
          <w:rFonts w:ascii="Calibri" w:cs="Calibri" w:eastAsia="Calibri" w:hAnsi="Calibri"/>
          <w:sz w:val="21"/>
          <w:szCs w:val="21"/>
        </w:rPr>
        <w:t xml:space="preserve">Si un pendiente del acta no se resuelve en el plazo acordado, ¿quién escala y a quién?</w:t>
      </w:r>
    </w:p>
    <w:p>
      <w:pPr>
        <w:spacing w:after="60" w:before="240"/>
      </w:pPr>
      <w:r>
        <w:rPr>
          <w:rFonts w:ascii="Calibri" w:cs="Calibri" w:eastAsia="Calibri" w:hAnsi="Calibri"/>
          <w:b/>
          <w:bCs/>
          <w:color w:val="1F3864"/>
          <w:sz w:val="23"/>
          <w:szCs w:val="23"/>
        </w:rPr>
        <w:t xml:space="preserve">Hito 12 — </w:t>
      </w:r>
      <w:r>
        <w:rPr>
          <w:rFonts w:ascii="Calibri" w:cs="Calibri" w:eastAsia="Calibri" w:hAnsi="Calibri"/>
          <w:b/>
          <w:bCs/>
          <w:color w:val="2E5395"/>
          <w:sz w:val="23"/>
          <w:szCs w:val="23"/>
        </w:rPr>
        <w:t xml:space="preserve">Resolución de un caso técnico derivado por Posventa (SLA)</w:t>
      </w:r>
    </w:p>
    <w:p>
      <w:pPr>
        <w:spacing w:after="100"/>
      </w:pPr>
      <w:r>
        <w:rPr>
          <w:rFonts w:ascii="Calibri" w:cs="Calibri" w:eastAsia="Calibri" w:hAnsi="Calibri"/>
          <w:b/>
          <w:bCs/>
          <w:i/>
          <w:iCs/>
          <w:color w:val="595959"/>
          <w:sz w:val="19"/>
          <w:szCs w:val="19"/>
        </w:rPr>
        <w:t xml:space="preserve">Por qué importa: </w:t>
      </w:r>
      <w:r>
        <w:rPr>
          <w:rFonts w:ascii="Calibri" w:cs="Calibri" w:eastAsia="Calibri" w:hAnsi="Calibri"/>
          <w:i/>
          <w:iCs/>
          <w:color w:val="595959"/>
          <w:sz w:val="19"/>
          <w:szCs w:val="19"/>
        </w:rPr>
        <w:t xml:space="preserve">Cuando Posventa deriva correctamente un caso técnico a Servicio Técnico, hoy no hay un tiempo de respuesta acordado ni un mecanismo de seguimiento.</w:t>
      </w:r>
    </w:p>
    <w:p>
      <w:pPr>
        <w:spacing w:after="140"/>
        <w:ind w:left="200" w:hanging="200"/>
      </w:pPr>
      <w:r>
        <w:rPr>
          <w:rFonts w:ascii="Calibri" w:cs="Calibri" w:eastAsia="Calibri" w:hAnsi="Calibri"/>
          <w:b/>
          <w:bCs/>
          <w:color w:val="1F3864"/>
          <w:sz w:val="21"/>
          <w:szCs w:val="21"/>
        </w:rPr>
        <w:t xml:space="preserve">10.  </w:t>
      </w:r>
      <w:r>
        <w:rPr>
          <w:rFonts w:ascii="Calibri" w:cs="Calibri" w:eastAsia="Calibri" w:hAnsi="Calibri"/>
          <w:sz w:val="21"/>
          <w:szCs w:val="21"/>
        </w:rPr>
        <w:t xml:space="preserve">¿Qué tiempo de respuesta es razonable, y quién hace seguimiento si no se cumple?</w:t>
      </w:r>
    </w:p>
    <w:p>
      <w:pPr>
        <w:pBdr>
          <w:left w:val="single" w:color="1F3864" w:sz="24" w:space="8"/>
        </w:pBdr>
        <w:spacing w:after="140" w:before="300"/>
        <w:ind w:left="120"/>
      </w:pPr>
      <w:r>
        <w:rPr>
          <w:rFonts w:ascii="Calibri" w:cs="Calibri" w:eastAsia="Calibri" w:hAnsi="Calibri"/>
          <w:b/>
          <w:bCs/>
          <w:color w:val="1F3864"/>
          <w:sz w:val="26"/>
          <w:szCs w:val="26"/>
        </w:rPr>
        <w:t xml:space="preserve">Después de la reunión</w:t>
      </w:r>
    </w:p>
    <w:p>
      <w:pPr>
        <w:spacing w:after="120"/>
      </w:pPr>
      <w:r>
        <w:rPr>
          <w:rFonts w:ascii="Calibri" w:cs="Calibri" w:eastAsia="Calibri" w:hAnsi="Calibri"/>
          <w:sz w:val="21"/>
          <w:szCs w:val="21"/>
        </w:rPr>
        <w:t xml:space="preserve">Con lo que se defina hoy: completar las celdas "A definir" de matrices-responsabilidades.xlsx, profundizar en un relevamiento los puntos que requieran más trabajo, y documentar las funciones de Ventas, Instalaciones, Posventa y Servicio Técnico para este proceso.</w:t>
      </w:r>
    </w:p>
    <w:sectPr>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6"/>
        <w:szCs w:val="16"/>
      </w:rPr>
      <w:t xml:space="preserve">Página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2026-09-04T14:17:48.878Z</dcterms:created>
  <dcterms:modified xsi:type="dcterms:W3CDTF">2026-09-04T14:17:48.897Z</dcterms:modified>
</cp:coreProperties>
</file>

<file path=docProps/custom.xml><?xml version="1.0" encoding="utf-8"?>
<Properties xmlns="http://schemas.openxmlformats.org/officeDocument/2006/custom-properties" xmlns:vt="http://schemas.openxmlformats.org/officeDocument/2006/docPropsVTypes"/>
</file>