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0EE49" w14:textId="77777777" w:rsidR="002B4284" w:rsidRDefault="00000000">
      <w:pPr>
        <w:spacing w:after="40"/>
      </w:pPr>
      <w:r>
        <w:rPr>
          <w:b/>
          <w:bCs/>
          <w:color w:val="1F3864"/>
          <w:sz w:val="38"/>
          <w:szCs w:val="38"/>
        </w:rPr>
        <w:t>Definición de responsabilidades entre áreas</w:t>
      </w:r>
    </w:p>
    <w:p w14:paraId="63B22D53" w14:textId="77777777" w:rsidR="002B4284" w:rsidRDefault="00000000">
      <w:pPr>
        <w:spacing w:after="40"/>
      </w:pPr>
      <w:r>
        <w:rPr>
          <w:b/>
          <w:bCs/>
          <w:color w:val="2E5395"/>
          <w:sz w:val="22"/>
          <w:szCs w:val="22"/>
        </w:rPr>
        <w:t>Proceso: Nuevos clientes con instalación de alarmas y/o cámaras</w:t>
      </w:r>
    </w:p>
    <w:p w14:paraId="4581BBF1" w14:textId="77777777" w:rsidR="002B4284" w:rsidRDefault="00000000">
      <w:pPr>
        <w:spacing w:after="240"/>
      </w:pPr>
      <w:r>
        <w:rPr>
          <w:i/>
          <w:iCs/>
          <w:color w:val="595959"/>
          <w:sz w:val="19"/>
          <w:szCs w:val="19"/>
        </w:rPr>
        <w:t>Reunión con Operaciones, Comercial y Marketing, y Administración — 4 de septiembre de 2026</w:t>
      </w:r>
    </w:p>
    <w:p w14:paraId="1D13F0E2" w14:textId="77777777" w:rsidR="002B4284" w:rsidRDefault="00000000">
      <w:pPr>
        <w:pBdr>
          <w:left w:val="single" w:sz="24" w:space="8" w:color="1F3864"/>
        </w:pBdr>
        <w:spacing w:before="280" w:after="120"/>
        <w:ind w:left="120"/>
      </w:pPr>
      <w:r>
        <w:rPr>
          <w:b/>
          <w:bCs/>
          <w:color w:val="1F3864"/>
          <w:sz w:val="26"/>
          <w:szCs w:val="26"/>
        </w:rPr>
        <w:t>Problemas</w:t>
      </w:r>
    </w:p>
    <w:p w14:paraId="210CC9E6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No hay hitos formales que delimiten dónde termina la responsabilidad de un área y empieza la de otra.</w:t>
      </w:r>
    </w:p>
    <w:p w14:paraId="02AA2E16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Ventas es el único canal "vivo" con el cliente y recibe reclamos que no le corresponden.</w:t>
      </w:r>
    </w:p>
    <w:p w14:paraId="55B6B7F1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Posventa termina resolviendo pendientes de instalación que son responsabilidad de Servicio Técnico.</w:t>
      </w:r>
    </w:p>
    <w:p w14:paraId="5DBB6A00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El cliente no siempre sabe a quién contactar en cada etapa del proceso.</w:t>
      </w:r>
    </w:p>
    <w:p w14:paraId="79DE5D7C" w14:textId="77777777" w:rsidR="002B4284" w:rsidRDefault="00000000">
      <w:pPr>
        <w:pBdr>
          <w:left w:val="single" w:sz="24" w:space="8" w:color="1F3864"/>
        </w:pBdr>
        <w:spacing w:before="280" w:after="120"/>
        <w:ind w:left="120"/>
      </w:pPr>
      <w:r>
        <w:rPr>
          <w:b/>
          <w:bCs/>
          <w:color w:val="1F3864"/>
          <w:sz w:val="26"/>
          <w:szCs w:val="26"/>
        </w:rPr>
        <w:t>Etapas del proceso</w:t>
      </w:r>
    </w:p>
    <w:p w14:paraId="62B555EE" w14:textId="77777777" w:rsidR="002B4284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Mismo número de hito que la matriz de responsabilidades (matrices-responsabilidades.xlsx).</w:t>
      </w:r>
    </w:p>
    <w:p w14:paraId="61AE7D46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1.  </w:t>
      </w:r>
      <w:r>
        <w:rPr>
          <w:sz w:val="20"/>
          <w:szCs w:val="20"/>
        </w:rPr>
        <w:t xml:space="preserve">Cierre de la venta (negociación y </w:t>
      </w:r>
      <w:proofErr w:type="gramStart"/>
      <w:r>
        <w:rPr>
          <w:sz w:val="20"/>
          <w:szCs w:val="20"/>
        </w:rPr>
        <w:t>contrato)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1E7A34"/>
          <w:sz w:val="20"/>
          <w:szCs w:val="20"/>
        </w:rPr>
        <w:t>Resuelto</w:t>
      </w:r>
    </w:p>
    <w:p w14:paraId="7E08E342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2.  </w:t>
      </w:r>
      <w:r>
        <w:rPr>
          <w:sz w:val="20"/>
          <w:szCs w:val="20"/>
        </w:rPr>
        <w:t xml:space="preserve">Cobro del 100% y generación automática del caso de instalación en </w:t>
      </w:r>
      <w:proofErr w:type="spellStart"/>
      <w:proofErr w:type="gramStart"/>
      <w:r>
        <w:rPr>
          <w:sz w:val="20"/>
          <w:szCs w:val="20"/>
        </w:rPr>
        <w:t>NetSuite</w:t>
      </w:r>
      <w:proofErr w:type="spellEnd"/>
      <w:r>
        <w:rPr>
          <w:sz w:val="20"/>
          <w:szCs w:val="20"/>
        </w:rPr>
        <w:t xml:space="preserve">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1E7A34"/>
          <w:sz w:val="20"/>
          <w:szCs w:val="20"/>
        </w:rPr>
        <w:t>Resuelto</w:t>
      </w:r>
    </w:p>
    <w:p w14:paraId="36034C58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3.  </w:t>
      </w:r>
      <w:r>
        <w:rPr>
          <w:sz w:val="20"/>
          <w:szCs w:val="20"/>
        </w:rPr>
        <w:t xml:space="preserve">Coordinación de la fecha de instalación con el </w:t>
      </w:r>
      <w:proofErr w:type="gramStart"/>
      <w:r>
        <w:rPr>
          <w:sz w:val="20"/>
          <w:szCs w:val="20"/>
        </w:rPr>
        <w:t>cliente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7791F"/>
          <w:sz w:val="20"/>
          <w:szCs w:val="20"/>
        </w:rPr>
        <w:t>A definir</w:t>
      </w:r>
    </w:p>
    <w:p w14:paraId="37949F11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4.  </w:t>
      </w:r>
      <w:r>
        <w:rPr>
          <w:sz w:val="20"/>
          <w:szCs w:val="20"/>
        </w:rPr>
        <w:t xml:space="preserve">Atención de consultas del cliente mientras no hay fecha </w:t>
      </w:r>
      <w:proofErr w:type="gramStart"/>
      <w:r>
        <w:rPr>
          <w:sz w:val="20"/>
          <w:szCs w:val="20"/>
        </w:rPr>
        <w:t>confirmada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7791F"/>
          <w:sz w:val="20"/>
          <w:szCs w:val="20"/>
        </w:rPr>
        <w:t>A definir</w:t>
      </w:r>
    </w:p>
    <w:p w14:paraId="5BA71382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5.  </w:t>
      </w:r>
      <w:r>
        <w:rPr>
          <w:sz w:val="20"/>
          <w:szCs w:val="20"/>
        </w:rPr>
        <w:t xml:space="preserve">Ejecución de la </w:t>
      </w:r>
      <w:proofErr w:type="gramStart"/>
      <w:r>
        <w:rPr>
          <w:sz w:val="20"/>
          <w:szCs w:val="20"/>
        </w:rPr>
        <w:t>instalación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1E7A34"/>
          <w:sz w:val="20"/>
          <w:szCs w:val="20"/>
        </w:rPr>
        <w:t>Resuelto</w:t>
      </w:r>
    </w:p>
    <w:p w14:paraId="33A4553E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6.  </w:t>
      </w:r>
      <w:r>
        <w:rPr>
          <w:sz w:val="20"/>
          <w:szCs w:val="20"/>
        </w:rPr>
        <w:t xml:space="preserve">Cierre de la instalación y firma del acta de </w:t>
      </w:r>
      <w:proofErr w:type="gramStart"/>
      <w:r>
        <w:rPr>
          <w:sz w:val="20"/>
          <w:szCs w:val="20"/>
        </w:rPr>
        <w:t>conformidad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1E7A34"/>
          <w:sz w:val="20"/>
          <w:szCs w:val="20"/>
        </w:rPr>
        <w:t>Resuelto</w:t>
      </w:r>
    </w:p>
    <w:p w14:paraId="4266FE65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7.  </w:t>
      </w:r>
      <w:r>
        <w:rPr>
          <w:sz w:val="20"/>
          <w:szCs w:val="20"/>
        </w:rPr>
        <w:t xml:space="preserve">Registro de pendientes en el acta con responsable y plazo </w:t>
      </w:r>
      <w:proofErr w:type="gramStart"/>
      <w:r>
        <w:rPr>
          <w:sz w:val="20"/>
          <w:szCs w:val="20"/>
        </w:rPr>
        <w:t>asignado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7791F"/>
          <w:sz w:val="20"/>
          <w:szCs w:val="20"/>
        </w:rPr>
        <w:t>A definir</w:t>
      </w:r>
    </w:p>
    <w:p w14:paraId="043A3E7D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8.  </w:t>
      </w:r>
      <w:r>
        <w:rPr>
          <w:sz w:val="20"/>
          <w:szCs w:val="20"/>
        </w:rPr>
        <w:t xml:space="preserve">Comunicación de finalización / activación del sistema al </w:t>
      </w:r>
      <w:proofErr w:type="gramStart"/>
      <w:r>
        <w:rPr>
          <w:sz w:val="20"/>
          <w:szCs w:val="20"/>
        </w:rPr>
        <w:t>cliente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7791F"/>
          <w:sz w:val="20"/>
          <w:szCs w:val="20"/>
        </w:rPr>
        <w:t>A definir</w:t>
      </w:r>
    </w:p>
    <w:p w14:paraId="497BF410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9.  </w:t>
      </w:r>
      <w:r>
        <w:rPr>
          <w:sz w:val="20"/>
          <w:szCs w:val="20"/>
        </w:rPr>
        <w:t>Control de calidad y encuesta de satisfacción (</w:t>
      </w:r>
      <w:proofErr w:type="gramStart"/>
      <w:r>
        <w:rPr>
          <w:sz w:val="20"/>
          <w:szCs w:val="20"/>
        </w:rPr>
        <w:t>Posventa)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1E7A34"/>
          <w:sz w:val="20"/>
          <w:szCs w:val="20"/>
        </w:rPr>
        <w:t>Resuelto</w:t>
      </w:r>
    </w:p>
    <w:p w14:paraId="334EDB8F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10.  </w:t>
      </w:r>
      <w:r>
        <w:rPr>
          <w:sz w:val="20"/>
          <w:szCs w:val="20"/>
        </w:rPr>
        <w:t xml:space="preserve">Clasificación y canalización de reclamos según </w:t>
      </w:r>
      <w:proofErr w:type="gramStart"/>
      <w:r>
        <w:rPr>
          <w:sz w:val="20"/>
          <w:szCs w:val="20"/>
        </w:rPr>
        <w:t>tipo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7791F"/>
          <w:sz w:val="20"/>
          <w:szCs w:val="20"/>
        </w:rPr>
        <w:t>A definir</w:t>
      </w:r>
    </w:p>
    <w:p w14:paraId="7349DD4E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11.  </w:t>
      </w:r>
      <w:r>
        <w:rPr>
          <w:sz w:val="20"/>
          <w:szCs w:val="20"/>
        </w:rPr>
        <w:t xml:space="preserve">Escalación de un pendiente del acta no resuelto en el plazo </w:t>
      </w:r>
      <w:proofErr w:type="gramStart"/>
      <w:r>
        <w:rPr>
          <w:sz w:val="20"/>
          <w:szCs w:val="20"/>
        </w:rPr>
        <w:t>acordado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7791F"/>
          <w:sz w:val="20"/>
          <w:szCs w:val="20"/>
        </w:rPr>
        <w:t>A definir</w:t>
      </w:r>
    </w:p>
    <w:p w14:paraId="73BBE9CD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12.  </w:t>
      </w:r>
      <w:r>
        <w:rPr>
          <w:sz w:val="20"/>
          <w:szCs w:val="20"/>
        </w:rPr>
        <w:t>Resolución de un caso técnico derivado por Posventa (</w:t>
      </w:r>
      <w:proofErr w:type="gramStart"/>
      <w:r>
        <w:rPr>
          <w:sz w:val="20"/>
          <w:szCs w:val="20"/>
        </w:rPr>
        <w:t>SLA)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B7791F"/>
          <w:sz w:val="20"/>
          <w:szCs w:val="20"/>
        </w:rPr>
        <w:t>A definir</w:t>
      </w:r>
    </w:p>
    <w:p w14:paraId="0B05500B" w14:textId="77777777" w:rsidR="002B4284" w:rsidRDefault="00000000">
      <w:pPr>
        <w:spacing w:after="60"/>
        <w:ind w:left="200" w:hanging="200"/>
      </w:pPr>
      <w:r>
        <w:rPr>
          <w:b/>
          <w:bCs/>
          <w:color w:val="1F3864"/>
          <w:sz w:val="20"/>
          <w:szCs w:val="20"/>
        </w:rPr>
        <w:t xml:space="preserve">13.  </w:t>
      </w:r>
      <w:r>
        <w:rPr>
          <w:sz w:val="20"/>
          <w:szCs w:val="20"/>
        </w:rPr>
        <w:t xml:space="preserve">Resolución de una situación administrativa derivada por </w:t>
      </w:r>
      <w:proofErr w:type="gramStart"/>
      <w:r>
        <w:rPr>
          <w:sz w:val="20"/>
          <w:szCs w:val="20"/>
        </w:rPr>
        <w:t>Posventa  —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1E7A34"/>
          <w:sz w:val="20"/>
          <w:szCs w:val="20"/>
        </w:rPr>
        <w:t>Resuelto</w:t>
      </w:r>
    </w:p>
    <w:p w14:paraId="65DC5F21" w14:textId="77777777" w:rsidR="002B4284" w:rsidRDefault="00000000">
      <w:pPr>
        <w:pBdr>
          <w:left w:val="single" w:sz="24" w:space="8" w:color="1F3864"/>
        </w:pBdr>
        <w:spacing w:before="280" w:after="120"/>
        <w:ind w:left="120"/>
      </w:pPr>
      <w:r>
        <w:rPr>
          <w:b/>
          <w:bCs/>
          <w:color w:val="1F3864"/>
          <w:sz w:val="26"/>
          <w:szCs w:val="26"/>
        </w:rPr>
        <w:t>Preguntas por hito</w:t>
      </w:r>
    </w:p>
    <w:p w14:paraId="523A6A7A" w14:textId="77777777" w:rsidR="002B4284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Cortas, para discutir en la reunión. Los puntos que requieran más detalle se profundizan después, en el relevamiento.</w:t>
      </w:r>
    </w:p>
    <w:p w14:paraId="26139CF8" w14:textId="77777777" w:rsidR="002B4284" w:rsidRDefault="00000000">
      <w:pPr>
        <w:spacing w:before="160" w:after="60"/>
      </w:pPr>
      <w:r>
        <w:rPr>
          <w:b/>
          <w:bCs/>
          <w:color w:val="2E5395"/>
        </w:rPr>
        <w:t>Hito 3 — Coordinación de la fecha de instalación</w:t>
      </w:r>
    </w:p>
    <w:p w14:paraId="597996FB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 xml:space="preserve">¿Quién coordina la fecha con el cliente: </w:t>
      </w:r>
      <w:proofErr w:type="gramStart"/>
      <w:r>
        <w:t>Ventas o Instalaciones?</w:t>
      </w:r>
      <w:proofErr w:type="gramEnd"/>
    </w:p>
    <w:p w14:paraId="28A20090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¿Cómo sabe el cliente a quién recurrir en cada etapa?</w:t>
      </w:r>
    </w:p>
    <w:p w14:paraId="69FC64EF" w14:textId="77777777" w:rsidR="002B4284" w:rsidRDefault="00000000">
      <w:pPr>
        <w:spacing w:before="160" w:after="60"/>
      </w:pPr>
      <w:r>
        <w:rPr>
          <w:b/>
          <w:bCs/>
          <w:color w:val="2E5395"/>
        </w:rPr>
        <w:t>Hito 4 — Atención mientras no hay fecha confirmada</w:t>
      </w:r>
    </w:p>
    <w:p w14:paraId="12B90FC0" w14:textId="76806273" w:rsidR="002B4284" w:rsidRDefault="00000000">
      <w:pPr>
        <w:pStyle w:val="Prrafodelista"/>
        <w:numPr>
          <w:ilvl w:val="0"/>
          <w:numId w:val="1"/>
        </w:numPr>
        <w:spacing w:after="70"/>
      </w:pPr>
      <w:r>
        <w:t>Si el cliente llama sin fecha confirmada, ¿quién atiende?</w:t>
      </w:r>
      <w:r w:rsidR="00C44531">
        <w:t xml:space="preserve"> </w:t>
      </w:r>
    </w:p>
    <w:p w14:paraId="609DF3F1" w14:textId="77777777" w:rsidR="002B4284" w:rsidRDefault="00000000">
      <w:pPr>
        <w:spacing w:before="160" w:after="60"/>
      </w:pPr>
      <w:r>
        <w:rPr>
          <w:b/>
          <w:bCs/>
          <w:color w:val="2E5395"/>
        </w:rPr>
        <w:t>Hito 7 — Registro de pendientes en el acta</w:t>
      </w:r>
    </w:p>
    <w:p w14:paraId="26A4516C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¿Sumamos responsable y plazo a cada pendiente del acta?</w:t>
      </w:r>
    </w:p>
    <w:p w14:paraId="08D47328" w14:textId="77777777" w:rsidR="002B4284" w:rsidRDefault="00000000">
      <w:pPr>
        <w:spacing w:before="160" w:after="60"/>
      </w:pPr>
      <w:r>
        <w:rPr>
          <w:b/>
          <w:bCs/>
          <w:color w:val="2E5395"/>
        </w:rPr>
        <w:t>Hito 8 — Comunicación de finalización / activación</w:t>
      </w:r>
    </w:p>
    <w:p w14:paraId="59526D9E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¿El acta deja claro que el sistema quedó activo?</w:t>
      </w:r>
    </w:p>
    <w:p w14:paraId="4A44270E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¿Cuándo arranca formalmente Posventa?</w:t>
      </w:r>
    </w:p>
    <w:p w14:paraId="339B2A10" w14:textId="77777777" w:rsidR="002B4284" w:rsidRDefault="00000000">
      <w:pPr>
        <w:spacing w:before="160" w:after="60"/>
      </w:pPr>
      <w:r>
        <w:rPr>
          <w:b/>
          <w:bCs/>
          <w:color w:val="2E5395"/>
        </w:rPr>
        <w:t>Hito 10 — Clasificación y canalización de reclamos</w:t>
      </w:r>
    </w:p>
    <w:p w14:paraId="62A989D1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¿Canal único, o un criterio según el tipo de reclamo?</w:t>
      </w:r>
    </w:p>
    <w:p w14:paraId="1D19073F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¿Cómo evitamos que Posventa termine ejecutando lo que es de Servicio Técnico?</w:t>
      </w:r>
    </w:p>
    <w:p w14:paraId="6437BA13" w14:textId="77777777" w:rsidR="002B4284" w:rsidRDefault="00000000">
      <w:pPr>
        <w:spacing w:before="160" w:after="60"/>
      </w:pPr>
      <w:r>
        <w:rPr>
          <w:b/>
          <w:bCs/>
          <w:color w:val="2E5395"/>
        </w:rPr>
        <w:t>Hito 11 — Escalación de pendientes vencidos</w:t>
      </w:r>
    </w:p>
    <w:p w14:paraId="48EA61F7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Si un pendiente no se resuelve a tiempo, ¿quién escala?</w:t>
      </w:r>
    </w:p>
    <w:p w14:paraId="62BD0C42" w14:textId="77777777" w:rsidR="002B4284" w:rsidRDefault="00000000">
      <w:pPr>
        <w:spacing w:before="160" w:after="60"/>
      </w:pPr>
      <w:r>
        <w:rPr>
          <w:b/>
          <w:bCs/>
          <w:color w:val="2E5395"/>
        </w:rPr>
        <w:t>Hito 12 — Resolución de casos derivados a Servicio Técnico</w:t>
      </w:r>
    </w:p>
    <w:p w14:paraId="098C1D6A" w14:textId="77777777" w:rsidR="002B4284" w:rsidRDefault="00000000">
      <w:pPr>
        <w:pStyle w:val="Prrafodelista"/>
        <w:numPr>
          <w:ilvl w:val="0"/>
          <w:numId w:val="1"/>
        </w:numPr>
        <w:spacing w:after="70"/>
      </w:pPr>
      <w:r>
        <w:t>¿Qué SLA es razonable, y quién hace seguimiento?</w:t>
      </w:r>
    </w:p>
    <w:p w14:paraId="163EC019" w14:textId="77777777" w:rsidR="00BE60D1" w:rsidRDefault="00000000">
      <w:pPr>
        <w:spacing w:after="16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lastRenderedPageBreak/>
        <w:t>Con las definiciones de hoy, se profundiza en un relevamiento y se documentan las funciones de cada área</w:t>
      </w:r>
      <w:r w:rsidR="00BE60D1">
        <w:rPr>
          <w:i/>
          <w:iCs/>
          <w:color w:val="595959"/>
          <w:sz w:val="18"/>
          <w:szCs w:val="18"/>
        </w:rPr>
        <w:t>.</w:t>
      </w:r>
    </w:p>
    <w:p w14:paraId="080165D4" w14:textId="42A42928" w:rsidR="00BE60D1" w:rsidRPr="00BE60D1" w:rsidRDefault="00BE60D1" w:rsidP="00BE60D1">
      <w:pPr>
        <w:pStyle w:val="NormalWeb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  <w:r w:rsidRPr="00BE60D1">
        <w:rPr>
          <w:rFonts w:ascii="Calibri" w:eastAsia="Calibri" w:hAnsi="Calibri" w:cs="Calibri"/>
          <w:i/>
          <w:iCs/>
          <w:color w:val="595959"/>
          <w:sz w:val="18"/>
          <w:szCs w:val="18"/>
        </w:rPr>
        <w:t>SLA "</w:t>
      </w:r>
      <w:proofErr w:type="spellStart"/>
      <w:r w:rsidRPr="00BE60D1">
        <w:rPr>
          <w:rFonts w:ascii="Calibri" w:eastAsia="Calibri" w:hAnsi="Calibri" w:cs="Calibri"/>
          <w:i/>
          <w:iCs/>
          <w:color w:val="595959"/>
          <w:sz w:val="18"/>
          <w:szCs w:val="18"/>
        </w:rPr>
        <w:t>Service</w:t>
      </w:r>
      <w:proofErr w:type="spellEnd"/>
      <w:r w:rsidRPr="00BE60D1"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</w:t>
      </w:r>
      <w:proofErr w:type="spellStart"/>
      <w:r w:rsidRPr="00BE60D1">
        <w:rPr>
          <w:rFonts w:ascii="Calibri" w:eastAsia="Calibri" w:hAnsi="Calibri" w:cs="Calibri"/>
          <w:i/>
          <w:iCs/>
          <w:color w:val="595959"/>
          <w:sz w:val="18"/>
          <w:szCs w:val="18"/>
        </w:rPr>
        <w:t>Level</w:t>
      </w:r>
      <w:proofErr w:type="spellEnd"/>
      <w:r w:rsidRPr="00BE60D1"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</w:t>
      </w:r>
      <w:proofErr w:type="spellStart"/>
      <w:r w:rsidRPr="00BE60D1">
        <w:rPr>
          <w:rFonts w:ascii="Calibri" w:eastAsia="Calibri" w:hAnsi="Calibri" w:cs="Calibri"/>
          <w:i/>
          <w:iCs/>
          <w:color w:val="595959"/>
          <w:sz w:val="18"/>
          <w:szCs w:val="18"/>
        </w:rPr>
        <w:t>Agreement</w:t>
      </w:r>
      <w:proofErr w:type="spellEnd"/>
      <w:r w:rsidRPr="00BE60D1">
        <w:rPr>
          <w:rFonts w:ascii="Calibri" w:eastAsia="Calibri" w:hAnsi="Calibri" w:cs="Calibri"/>
          <w:i/>
          <w:iCs/>
          <w:color w:val="595959"/>
          <w:sz w:val="18"/>
          <w:szCs w:val="18"/>
        </w:rPr>
        <w:t>" (acuerdo de nivel de servicio). En términos simples, es un compromiso formal sobre en cuánto tiempo (o con qué calidad) se va a resolver algo, para que quien lo pide sepa qué esperar y quien lo ejecuta sepa a qué se comprometió.</w:t>
      </w:r>
    </w:p>
    <w:p w14:paraId="38AC1EDA" w14:textId="77777777" w:rsidR="00BE60D1" w:rsidRPr="00BE60D1" w:rsidRDefault="00BE60D1" w:rsidP="00BE60D1">
      <w:pPr>
        <w:pStyle w:val="NormalWeb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  <w:r w:rsidRPr="00BE60D1">
        <w:rPr>
          <w:rFonts w:ascii="Calibri" w:eastAsia="Calibri" w:hAnsi="Calibri" w:cs="Calibri"/>
          <w:i/>
          <w:iCs/>
          <w:color w:val="595959"/>
          <w:sz w:val="18"/>
          <w:szCs w:val="18"/>
        </w:rPr>
        <w:t>En el contexto de lo que venimos armando, cuando en la matriz aparece "SLA de Servicio Técnico ante casos derivados por Posventa" me refiero a algo así: si Posventa deriva un caso técnico, se define de antemano un plazo (por ejemplo, "Servicio Técnico responde o resuelve dentro de las 48 horas hábiles"). Ese número es el SLA. Sin ese acuerdo, un caso derivado puede quedar sin fecha de resolución, nadie sabe si está demorado o no, y termina siendo Posventa (o el cliente) el que tiene que insistir para que se mueva — que es justo el tipo de ambigüedad que estamos tratando de eliminar en todo este trabajo.</w:t>
      </w:r>
    </w:p>
    <w:p w14:paraId="3E286ACF" w14:textId="77777777" w:rsidR="00BE60D1" w:rsidRPr="00BE60D1" w:rsidRDefault="00BE60D1" w:rsidP="00BE60D1">
      <w:pPr>
        <w:pStyle w:val="NormalWeb"/>
        <w:rPr>
          <w:rFonts w:ascii="Calibri" w:eastAsia="Calibri" w:hAnsi="Calibri" w:cs="Calibri"/>
          <w:i/>
          <w:iCs/>
          <w:color w:val="595959"/>
          <w:sz w:val="18"/>
          <w:szCs w:val="18"/>
        </w:rPr>
      </w:pPr>
      <w:r w:rsidRPr="00BE60D1">
        <w:rPr>
          <w:rFonts w:ascii="Calibri" w:eastAsia="Calibri" w:hAnsi="Calibri" w:cs="Calibri"/>
          <w:i/>
          <w:iCs/>
          <w:color w:val="595959"/>
          <w:sz w:val="18"/>
          <w:szCs w:val="18"/>
        </w:rPr>
        <w:t>Normalmente un SLA también define qué pasa si no se cumple (a quién se escala), que es el punto 2 de nuestra lista de temas pendientes: "si un pendiente del acta no se resuelve en el plazo, quién escala y a quién". Eso también es, en esencia, definir un SLA con su mecanismo de escalación.</w:t>
      </w:r>
    </w:p>
    <w:p w14:paraId="2C6053F2" w14:textId="5B5F24F2" w:rsidR="00BE60D1" w:rsidRPr="00BE60D1" w:rsidRDefault="00BE60D1">
      <w:pPr>
        <w:spacing w:after="160"/>
        <w:rPr>
          <w:i/>
          <w:iCs/>
          <w:color w:val="595959"/>
          <w:sz w:val="18"/>
          <w:szCs w:val="18"/>
        </w:rPr>
      </w:pPr>
    </w:p>
    <w:sectPr w:rsidR="00BE60D1" w:rsidRPr="00BE60D1">
      <w:footerReference w:type="default" r:id="rId7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030A8" w14:textId="77777777" w:rsidR="00436FA9" w:rsidRDefault="00436FA9">
      <w:r>
        <w:separator/>
      </w:r>
    </w:p>
  </w:endnote>
  <w:endnote w:type="continuationSeparator" w:id="0">
    <w:p w14:paraId="5CC892CF" w14:textId="77777777" w:rsidR="00436FA9" w:rsidRDefault="00436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3F501" w14:textId="77777777" w:rsidR="002B4284" w:rsidRDefault="00000000">
    <w:pPr>
      <w:jc w:val="right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E60D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5A7E9" w14:textId="77777777" w:rsidR="00436FA9" w:rsidRDefault="00436FA9">
      <w:r>
        <w:separator/>
      </w:r>
    </w:p>
  </w:footnote>
  <w:footnote w:type="continuationSeparator" w:id="0">
    <w:p w14:paraId="699D9DAB" w14:textId="77777777" w:rsidR="00436FA9" w:rsidRDefault="00436F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A3F8B"/>
    <w:multiLevelType w:val="hybridMultilevel"/>
    <w:tmpl w:val="D53637C6"/>
    <w:lvl w:ilvl="0" w:tplc="F9C2406E">
      <w:start w:val="1"/>
      <w:numFmt w:val="bullet"/>
      <w:lvlText w:val="●"/>
      <w:lvlJc w:val="left"/>
      <w:pPr>
        <w:ind w:left="720" w:hanging="360"/>
      </w:pPr>
    </w:lvl>
    <w:lvl w:ilvl="1" w:tplc="4CEEA2D2">
      <w:start w:val="1"/>
      <w:numFmt w:val="bullet"/>
      <w:lvlText w:val="○"/>
      <w:lvlJc w:val="left"/>
      <w:pPr>
        <w:ind w:left="1440" w:hanging="360"/>
      </w:pPr>
    </w:lvl>
    <w:lvl w:ilvl="2" w:tplc="E47E5C68">
      <w:start w:val="1"/>
      <w:numFmt w:val="bullet"/>
      <w:lvlText w:val="■"/>
      <w:lvlJc w:val="left"/>
      <w:pPr>
        <w:ind w:left="2160" w:hanging="360"/>
      </w:pPr>
    </w:lvl>
    <w:lvl w:ilvl="3" w:tplc="63CE6CD8">
      <w:start w:val="1"/>
      <w:numFmt w:val="bullet"/>
      <w:lvlText w:val="●"/>
      <w:lvlJc w:val="left"/>
      <w:pPr>
        <w:ind w:left="2880" w:hanging="360"/>
      </w:pPr>
    </w:lvl>
    <w:lvl w:ilvl="4" w:tplc="14A2E44C">
      <w:start w:val="1"/>
      <w:numFmt w:val="bullet"/>
      <w:lvlText w:val="○"/>
      <w:lvlJc w:val="left"/>
      <w:pPr>
        <w:ind w:left="3600" w:hanging="360"/>
      </w:pPr>
    </w:lvl>
    <w:lvl w:ilvl="5" w:tplc="EFDA3372">
      <w:start w:val="1"/>
      <w:numFmt w:val="bullet"/>
      <w:lvlText w:val="■"/>
      <w:lvlJc w:val="left"/>
      <w:pPr>
        <w:ind w:left="4320" w:hanging="360"/>
      </w:pPr>
    </w:lvl>
    <w:lvl w:ilvl="6" w:tplc="024C9DB2">
      <w:start w:val="1"/>
      <w:numFmt w:val="bullet"/>
      <w:lvlText w:val="●"/>
      <w:lvlJc w:val="left"/>
      <w:pPr>
        <w:ind w:left="5040" w:hanging="360"/>
      </w:pPr>
    </w:lvl>
    <w:lvl w:ilvl="7" w:tplc="4C84B7A4">
      <w:start w:val="1"/>
      <w:numFmt w:val="bullet"/>
      <w:lvlText w:val="●"/>
      <w:lvlJc w:val="left"/>
      <w:pPr>
        <w:ind w:left="5760" w:hanging="360"/>
      </w:pPr>
    </w:lvl>
    <w:lvl w:ilvl="8" w:tplc="B8FAF080">
      <w:start w:val="1"/>
      <w:numFmt w:val="bullet"/>
      <w:lvlText w:val="●"/>
      <w:lvlJc w:val="left"/>
      <w:pPr>
        <w:ind w:left="6480" w:hanging="360"/>
      </w:pPr>
    </w:lvl>
  </w:abstractNum>
  <w:num w:numId="1" w16cid:durableId="384451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284"/>
    <w:rsid w:val="002B4284"/>
    <w:rsid w:val="00436FA9"/>
    <w:rsid w:val="00794F88"/>
    <w:rsid w:val="00BE60D1"/>
    <w:rsid w:val="00C17456"/>
    <w:rsid w:val="00C4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0FCB"/>
  <w15:docId w15:val="{BAC0CDE6-8459-4013-9E46-C6216C5E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60D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612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w</cp:lastModifiedBy>
  <cp:revision>3</cp:revision>
  <dcterms:created xsi:type="dcterms:W3CDTF">2026-09-03T22:44:00Z</dcterms:created>
  <dcterms:modified xsi:type="dcterms:W3CDTF">2026-09-04T19:22:00Z</dcterms:modified>
</cp:coreProperties>
</file>