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A44"/>
          <w:sz w:val="40"/>
        </w:rPr>
        <w:t>Ficha del proceso: Nuevos clientes con alarmas y/o cámaras</w:t>
      </w:r>
    </w:p>
    <w:p>
      <w:pPr>
        <w:spacing w:after="200"/>
      </w:pPr>
      <w:r>
        <w:rPr>
          <w:color w:val="595959"/>
          <w:sz w:val="22"/>
        </w:rPr>
        <w:t>SP Seguridad Privada · Procesos y Mejora Continua · v0.3 borrador · 19/10/2026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Objetivo</w:t>
      </w:r>
    </w:p>
    <w:p>
      <w:r>
        <w:t>Convertir a un prospecto en un cliente activo y conforme: desde el primer contacto hasta el control de calidad posterior a la instalación.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Alcance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200"/>
        <w:gridCol w:w="7200"/>
      </w:tblGrid>
      <w:tr>
        <w:trPr>
          <w:tblHeader w:val="true"/>
        </w:trPr>
        <w:tc>
          <w:tcPr>
            <w:tcW w:type="dxa" w:w="4873"/>
            <w:tcW w:type="dxa" w:w="2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873"/>
            <w:tcW w:type="dxa" w:w="7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Inicio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Primer contacto del prospecto (redes, WhatsApp o contacto directo con el vendedor).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Fin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Control de calidad de Posventa cerrado: cliente activo y conforme, o novedades derivadas al proceso que corresponde.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Incluye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Venta consultiva, consulta de stock al presupuestar, cobro y bienvenida, coordinación de la instalación, entrega de materiales al técnico, instalación, pendientes del acta y su escalación, control de calidad.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No incluye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El funcionamiento interno de Depósito; los procesos del ciclo de vida del cliente (mantenimiento, cobranza recurrente, bajas); Ampliaciones; las consultas del cliente posteriores al período de control de calidad.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Criterio de modelado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Se modela el circuito objetivo. Los desvíos de la operación actual se marcan como anotaciones en el BPMN.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Etapas</w:t>
      </w:r>
    </w:p>
    <w:p>
      <w:r>
        <w:rPr>
          <w:color w:val="595959"/>
        </w:rPr>
        <w:t>Al acotar el alcance y sumar la bienvenida a la etapa 7, el proceso pasa de 16 a 10 etapas. La numeración nueva se aplicó en la matriz de responsabilidades y en los BPMN el 19/10.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700"/>
        <w:gridCol w:w="1200"/>
        <w:gridCol w:w="5300"/>
        <w:gridCol w:w="2200"/>
      </w:tblGrid>
      <w:tr>
        <w:trPr>
          <w:tblHeader w:val="true"/>
        </w:trPr>
        <w:tc>
          <w:tcPr>
            <w:tcW w:type="dxa" w:w="2436"/>
            <w:tcW w:type="dxa" w:w="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436"/>
            <w:tcW w:type="dxa" w:w="1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N° anterior</w:t>
            </w:r>
          </w:p>
        </w:tc>
        <w:tc>
          <w:tcPr>
            <w:tcW w:type="dxa" w:w="2436"/>
            <w:tcW w:type="dxa" w:w="53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436"/>
            <w:tcW w:type="dxa" w:w="2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Área responsable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Primer contacto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Ventas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Concertación de la visita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Ventas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Visita: relevamiento y propuesta de valor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Ventas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Envío de presupuesto (incluye consulta de stock)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Ventas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Seguimiento del presupuesto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Ventas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Confirmación de la venta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Ventas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7 y 8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Recepción de presupuesto aprobado, cobro y bienvenida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Coordinación de la instalación (incluye pedido de materiales)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Instalaciones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Ejecución de la instalación (incluye retiro de materiales y ajuste de faltantes y sobrantes)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Instalaciones</w:t>
            </w:r>
          </w:p>
        </w:tc>
      </w:tr>
      <w:tr>
        <w:tc>
          <w:tcPr>
            <w:tcW w:type="dxa" w:w="2436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436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436"/>
            <w:tcW w:type="dxa" w:w="5300"/>
          </w:tcPr>
          <w:p>
            <w:pPr>
              <w:spacing w:after="20"/>
            </w:pPr>
            <w:r>
              <w:rPr>
                <w:b w:val="0"/>
                <w:sz w:val="20"/>
              </w:rPr>
              <w:t>Control de calidad posterior a la instalación</w:t>
            </w:r>
          </w:p>
        </w:tc>
        <w:tc>
          <w:tcPr>
            <w:tcW w:type="dxa" w:w="2436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Posventa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Áreas participantes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000"/>
        <w:gridCol w:w="3300"/>
        <w:gridCol w:w="4100"/>
      </w:tblGrid>
      <w:tr>
        <w:trPr>
          <w:tblHeader w:val="true"/>
        </w:trPr>
        <w:tc>
          <w:tcPr>
            <w:tcW w:type="dxa" w:w="3249"/>
            <w:tcW w:type="dxa" w:w="2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Área (lane)</w:t>
            </w:r>
          </w:p>
        </w:tc>
        <w:tc>
          <w:tcPr>
            <w:tcW w:type="dxa" w:w="3249"/>
            <w:tcW w:type="dxa" w:w="33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Depende de</w:t>
            </w:r>
          </w:p>
        </w:tc>
        <w:tc>
          <w:tcPr>
            <w:tcW w:type="dxa" w:w="3249"/>
            <w:tcW w:type="dxa" w:w="41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Rol en el proceso</w:t>
            </w:r>
          </w:p>
        </w:tc>
      </w:tr>
      <w:tr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Ventas</w:t>
            </w:r>
          </w:p>
        </w:tc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Gerencia de Comercialización y Marketing (a confirmar)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Troncal. Sub-lanes: Bot IA comercial (GHL) y Agente comercial.</w:t>
            </w:r>
          </w:p>
        </w:tc>
      </w:tr>
      <w:tr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</w:t>
            </w:r>
          </w:p>
        </w:tc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Gerencia de Administración y Finanzas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Troncal. Alta administrativa, cobro y bienvenida.</w:t>
            </w:r>
          </w:p>
        </w:tc>
      </w:tr>
      <w:tr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Instalaciones</w:t>
            </w:r>
          </w:p>
        </w:tc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Troncal. Coordina, pide materiales e instala.</w:t>
            </w:r>
          </w:p>
        </w:tc>
      </w:tr>
      <w:tr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Depósito</w:t>
            </w:r>
          </w:p>
        </w:tc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Gerencia de Operaciones Técnicas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Apoyo. Se modela solo su participación; su funcionamiento interno va a procesos de apoyo.</w:t>
            </w:r>
          </w:p>
        </w:tc>
      </w:tr>
      <w:tr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Posventa</w:t>
            </w:r>
          </w:p>
        </w:tc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Troncal. Control de calidad; clasifica y deriva, no ejecuta.</w:t>
            </w:r>
          </w:p>
        </w:tc>
      </w:tr>
    </w:tbl>
    <w:p>
      <w:pPr>
        <w:spacing w:after="40"/>
      </w:pPr>
    </w:p>
    <w:p>
      <w:r>
        <w:rPr>
          <w:color w:val="595959"/>
        </w:rPr>
        <w:t>Servicio Técnico no participa dentro del proceso: recibe los casos que deriva Posventa.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Hitos de traspaso de responsabilidad</w:t>
      </w:r>
    </w:p>
    <w:p>
      <w:r>
        <w:rPr>
          <w:color w:val="595959"/>
        </w:rPr>
        <w:t>La numeración de hitos no cambia. Las etapas asociadas ya están actualizadas en la matriz.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700"/>
        <w:gridCol w:w="4600"/>
        <w:gridCol w:w="4100"/>
      </w:tblGrid>
      <w:tr>
        <w:trPr>
          <w:tblHeader w:val="true"/>
        </w:trPr>
        <w:tc>
          <w:tcPr>
            <w:tcW w:type="dxa" w:w="3249"/>
            <w:tcW w:type="dxa" w:w="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249"/>
            <w:tcW w:type="dxa" w:w="46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3249"/>
            <w:tcW w:type="dxa" w:w="41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Cierre de la venta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Cobro del 100% y caso de instalación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Coordinación de la fecha de instalación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Consultas sin fecha confirmada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Cierre de la instalación y acta de conformidad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Registro de pendientes en el acta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Comunicación de activación del sistema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Control de calidad y encuesta (Posventa)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249"/>
            <w:tcW w:type="dxa" w:w="46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Clasificación y canalización de reclamos</w:t>
            </w:r>
          </w:p>
        </w:tc>
        <w:tc>
          <w:tcPr>
            <w:tcW w:type="dxa" w:w="3249"/>
            <w:tcW w:type="dxa" w:w="41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Salida: Posventa clasifica y deriva al proceso que corresponde</w:t>
            </w:r>
          </w:p>
        </w:tc>
      </w:tr>
      <w:tr>
        <w:tc>
          <w:tcPr>
            <w:tcW w:type="dxa" w:w="3249"/>
            <w:tcW w:type="dxa" w:w="700"/>
          </w:tcPr>
          <w:p>
            <w:pPr>
              <w:spacing w:after="2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249"/>
            <w:tcW w:type="dxa" w:w="4600"/>
          </w:tcPr>
          <w:p>
            <w:pPr>
              <w:spacing w:after="20"/>
            </w:pPr>
            <w:r>
              <w:rPr>
                <w:b w:val="0"/>
                <w:sz w:val="20"/>
              </w:rPr>
              <w:t>Escalación de pendiente del acta vencido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Interno</w:t>
            </w:r>
          </w:p>
        </w:tc>
      </w:tr>
      <w:tr>
        <w:tc>
          <w:tcPr>
            <w:tcW w:type="dxa" w:w="3249"/>
            <w:tcW w:type="dxa" w:w="7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249"/>
            <w:tcW w:type="dxa" w:w="46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Caso técnico derivado por Posventa (SLA)</w:t>
            </w:r>
          </w:p>
        </w:tc>
        <w:tc>
          <w:tcPr>
            <w:tcW w:type="dxa" w:w="3249"/>
            <w:tcW w:type="dxa" w:w="41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Salida hacia Mantenimiento correctivo y reclamos técnicos</w:t>
            </w:r>
          </w:p>
        </w:tc>
      </w:tr>
      <w:tr>
        <w:tc>
          <w:tcPr>
            <w:tcW w:type="dxa" w:w="3249"/>
            <w:tcW w:type="dxa" w:w="7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249"/>
            <w:tcW w:type="dxa" w:w="46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Situación administrativa derivada por Posventa</w:t>
            </w:r>
          </w:p>
        </w:tc>
        <w:tc>
          <w:tcPr>
            <w:tcW w:type="dxa" w:w="3249"/>
            <w:tcW w:type="dxa" w:w="4100"/>
            <w:shd w:val="clear" w:color="auto" w:fill="EEF2F7"/>
          </w:tcPr>
          <w:p>
            <w:pPr>
              <w:spacing w:after="20"/>
            </w:pPr>
            <w:r>
              <w:rPr>
                <w:b w:val="0"/>
                <w:sz w:val="20"/>
              </w:rPr>
              <w:t>Salida hacia Atención al cliente activo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Participación de Depósito</w:t>
      </w:r>
    </w:p>
    <w:p>
      <w:pPr>
        <w:keepNext/>
        <w:spacing w:before="160" w:after="60"/>
      </w:pPr>
      <w:r>
        <w:rPr>
          <w:b/>
          <w:color w:val="3B5B8C"/>
          <w:sz w:val="22"/>
        </w:rPr>
        <w:t>Puntos de contacto con el proceso</w:t>
      </w:r>
    </w:p>
    <w:p>
      <w:pPr>
        <w:pStyle w:val="ListBullet"/>
        <w:spacing w:after="40"/>
      </w:pPr>
      <w:r>
        <w:rPr>
          <w:b/>
        </w:rPr>
        <w:t>Consulta de stock (etapa 4):</w:t>
      </w:r>
      <w:r>
        <w:rPr>
          <w:b w:val="0"/>
        </w:rPr>
        <w:t xml:space="preserve"> al armar el presupuesto, NetSuite avisa al vendedor si hay stock. Se considera disponible el stock del Depósito Central menos un stock de seguridad. No es una tarea de Depósito: es un dato.</w:t>
      </w:r>
    </w:p>
    <w:p>
      <w:pPr>
        <w:pStyle w:val="ListBullet"/>
        <w:spacing w:after="40"/>
      </w:pPr>
      <w:r>
        <w:rPr>
          <w:b/>
        </w:rPr>
        <w:t>Planificación de materiales:</w:t>
      </w:r>
      <w:r>
        <w:rPr>
          <w:b w:val="0"/>
        </w:rPr>
        <w:t xml:space="preserve"> Depósito consulta en forma recurrente los presupuestos comprometidos (confirmados sin pagar y confirmados pagos) y los materiales que requieren.</w:t>
      </w:r>
    </w:p>
    <w:p>
      <w:pPr>
        <w:pStyle w:val="ListBullet"/>
        <w:spacing w:after="40"/>
      </w:pPr>
      <w:r>
        <w:rPr>
          <w:b/>
        </w:rPr>
        <w:t>Entrega por trabajo (etapas 8 y 9):</w:t>
      </w:r>
      <w:r>
        <w:rPr>
          <w:b w:val="0"/>
        </w:rPr>
        <w:t xml:space="preserve"> Instalaciones solicita a Depósito los equipos de cada trabajo. El técnico los retira en el Depósito Central.</w:t>
      </w:r>
    </w:p>
    <w:p>
      <w:pPr>
        <w:pStyle w:val="ListBullet"/>
        <w:spacing w:after="40"/>
      </w:pPr>
      <w:r>
        <w:rPr>
          <w:b/>
        </w:rPr>
        <w:t>Faltantes y sobrantes (etapa 9):</w:t>
      </w:r>
      <w:r>
        <w:rPr>
          <w:b w:val="0"/>
        </w:rPr>
        <w:t xml:space="preserve"> durante el trabajo el técnico ajusta los faltantes; al finalizar ajusta los sobrantes, si los hay.</w:t>
      </w:r>
    </w:p>
    <w:p>
      <w:pPr>
        <w:keepNext/>
        <w:spacing w:before="160" w:after="60"/>
      </w:pPr>
      <w:r>
        <w:rPr>
          <w:b/>
          <w:color w:val="3B5B8C"/>
          <w:sz w:val="22"/>
        </w:rPr>
        <w:t>Documentos de NetSuite que intervienen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300"/>
        <w:gridCol w:w="2000"/>
        <w:gridCol w:w="4100"/>
      </w:tblGrid>
      <w:tr>
        <w:trPr>
          <w:tblHeader w:val="true"/>
        </w:trPr>
        <w:tc>
          <w:tcPr>
            <w:tcW w:type="dxa" w:w="3249"/>
            <w:tcW w:type="dxa" w:w="33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3249"/>
            <w:tcW w:type="dxa" w:w="2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Quién lo genera</w:t>
            </w:r>
          </w:p>
        </w:tc>
        <w:tc>
          <w:tcPr>
            <w:tcW w:type="dxa" w:w="3249"/>
            <w:tcW w:type="dxa" w:w="41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Orden de venta / orden de instalación</w:t>
            </w:r>
          </w:p>
        </w:tc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Instalaciones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Solicitud de los materiales del trabajo.</w:t>
            </w:r>
          </w:p>
        </w:tc>
      </w:tr>
      <w:tr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Orden de traslado (campo Técnico al que entrega material)</w:t>
            </w:r>
          </w:p>
        </w:tc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Depósito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Traslado de Central al depósito del técnico.</w:t>
            </w:r>
          </w:p>
        </w:tc>
      </w:tr>
      <w:tr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Despacho de la orden de traslado (remito)</w:t>
            </w:r>
          </w:p>
        </w:tc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Depósito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Salida de Central. El diseño prevé Pick, Pack y Ship.</w:t>
            </w:r>
          </w:p>
        </w:tc>
      </w:tr>
      <w:tr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Recepción de la orden de traslado</w:t>
            </w:r>
          </w:p>
        </w:tc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Técnico / Instalaciones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Alta en el depósito del técnico; confirma la recepción.</w:t>
            </w:r>
          </w:p>
        </w:tc>
      </w:tr>
      <w:tr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Despacho de la orden de venta</w:t>
            </w:r>
          </w:p>
        </w:tc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Instalaciones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Consumo del material desde el depósito del técnico.</w:t>
            </w:r>
          </w:p>
        </w:tc>
      </w:tr>
      <w:tr>
        <w:tc>
          <w:tcPr>
            <w:tcW w:type="dxa" w:w="3249"/>
            <w:tcW w:type="dxa" w:w="3300"/>
          </w:tcPr>
          <w:p>
            <w:pPr>
              <w:spacing w:after="20"/>
            </w:pPr>
            <w:r>
              <w:rPr>
                <w:b w:val="0"/>
                <w:sz w:val="20"/>
              </w:rPr>
              <w:t>Transferencia a Comodato CLIENTES</w:t>
            </w:r>
          </w:p>
        </w:tc>
        <w:tc>
          <w:tcPr>
            <w:tcW w:type="dxa" w:w="32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A definir</w:t>
            </w:r>
          </w:p>
        </w:tc>
        <w:tc>
          <w:tcPr>
            <w:tcW w:type="dxa" w:w="3249"/>
            <w:tcW w:type="dxa" w:w="4100"/>
          </w:tcPr>
          <w:p>
            <w:pPr>
              <w:spacing w:after="20"/>
            </w:pPr>
            <w:r>
              <w:rPr>
                <w:b w:val="0"/>
                <w:sz w:val="20"/>
              </w:rPr>
              <w:t>Registro del equipo instalado en comodato.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b/>
          <w:color w:val="3B5B8C"/>
          <w:sz w:val="22"/>
        </w:rPr>
        <w:t>Desvíos actuales a marcar como anotación</w:t>
      </w:r>
    </w:p>
    <w:p>
      <w:pPr>
        <w:pStyle w:val="ListBullet"/>
        <w:spacing w:after="40"/>
      </w:pPr>
      <w:r>
        <w:rPr>
          <w:b/>
        </w:rPr>
        <w:t>Dos circuitos Central → técnico:</w:t>
      </w:r>
      <w:r>
        <w:rPr>
          <w:b w:val="0"/>
        </w:rPr>
        <w:t xml:space="preserve"> conviven órdenes de traslado y transferencias directas; la transferencia directa no deja registro de recepción del técnico.</w:t>
      </w:r>
    </w:p>
    <w:p>
      <w:pPr>
        <w:pStyle w:val="ListBullet"/>
        <w:spacing w:after="40"/>
      </w:pPr>
      <w:r>
        <w:rPr>
          <w:b/>
        </w:rPr>
        <w:t>Stock negativo en técnicos:</w:t>
      </w:r>
      <w:r>
        <w:rPr>
          <w:b w:val="0"/>
        </w:rPr>
        <w:t xml:space="preserve"> se consume desde la orden de venta aunque el técnico no tenga stock (158 líneas negativas al 05/10/2026).</w:t>
      </w:r>
    </w:p>
    <w:p>
      <w:pPr>
        <w:pStyle w:val="ListBullet"/>
        <w:spacing w:after="40"/>
      </w:pPr>
      <w:r>
        <w:rPr>
          <w:b/>
        </w:rPr>
        <w:t>Comodato con ajustes:</w:t>
      </w:r>
      <w:r>
        <w:rPr>
          <w:b w:val="0"/>
        </w:rPr>
        <w:t xml:space="preserve"> el alta en comodato se hace con pares de ajustes de inventario en lugar de una transferencia.</w:t>
      </w:r>
    </w:p>
    <w:p>
      <w:pPr>
        <w:pStyle w:val="ListBullet"/>
        <w:spacing w:after="40"/>
      </w:pPr>
      <w:r>
        <w:rPr>
          <w:b/>
        </w:rPr>
        <w:t>Comodato sin número de serie:</w:t>
      </w:r>
      <w:r>
        <w:rPr>
          <w:b w:val="0"/>
        </w:rPr>
        <w:t xml:space="preserve"> los equipos en comodato no salen con número de serie.</w:t>
      </w:r>
    </w:p>
    <w:p>
      <w:r>
        <w:rPr>
          <w:color w:val="595959"/>
        </w:rPr>
        <w:t>Fuente: Relevamiento Módulo Logística / Inventario NetSuite v3 (05/10/2026) y BRD 3K Sprint 2 (2021).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Mapa de procesos</w:t>
      </w:r>
    </w:p>
    <w:p>
      <w:r>
        <w:rPr>
          <w:color w:val="595959"/>
        </w:rPr>
        <w:t>Nueve procesos en la cadena de valor del cliente y de apoyo, más Monitoreo de alarmas como servicio principal. Nombres tentativos: se modelan de a uno; por ahora solo se fija su alcance.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400"/>
        <w:gridCol w:w="2000"/>
        <w:gridCol w:w="2300"/>
        <w:gridCol w:w="1500"/>
        <w:gridCol w:w="1200"/>
      </w:tblGrid>
      <w:tr>
        <w:trPr>
          <w:tblHeader w:val="true"/>
        </w:trPr>
        <w:tc>
          <w:tcPr>
            <w:tcW w:type="dxa" w:w="1949"/>
            <w:tcW w:type="dxa" w:w="24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1949"/>
            <w:tcW w:type="dxa" w:w="2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Empieza con</w:t>
            </w:r>
          </w:p>
        </w:tc>
        <w:tc>
          <w:tcPr>
            <w:tcW w:type="dxa" w:w="1949"/>
            <w:tcW w:type="dxa" w:w="23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Termina con</w:t>
            </w:r>
          </w:p>
        </w:tc>
        <w:tc>
          <w:tcPr>
            <w:tcW w:type="dxa" w:w="1949"/>
            <w:tcW w:type="dxa" w:w="15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Área dueña</w:t>
            </w:r>
          </w:p>
        </w:tc>
        <w:tc>
          <w:tcPr>
            <w:tcW w:type="dxa" w:w="1949"/>
            <w:tcW w:type="dxa" w:w="1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9745"/>
            <w:tcW w:type="dxa" w:w="2400"/>
            <w:gridSpan w:val="5"/>
            <w:shd w:val="clear" w:color="auto" w:fill="EEF2F7"/>
          </w:tcPr>
          <w:p>
            <w:pPr>
              <w:spacing w:after="20"/>
            </w:pPr>
            <w:r>
              <w:rPr>
                <w:b/>
                <w:sz w:val="20"/>
              </w:rPr>
              <w:t>Incorporación de clientes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1. Nuevos clientes con alarmas y/o cámaras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Primer contacto del prospecto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Control de calidad cerrado: cliente activo y conforme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A definir (varias áreas)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En modelado (3 diagramas BPMN)</w:t>
            </w:r>
          </w:p>
        </w:tc>
      </w:tr>
      <w:tr>
        <w:tc>
          <w:tcPr>
            <w:tcW w:type="dxa" w:w="9745"/>
            <w:tcW w:type="dxa" w:w="2400"/>
            <w:gridSpan w:val="5"/>
            <w:shd w:val="clear" w:color="auto" w:fill="EEF2F7"/>
          </w:tcPr>
          <w:p>
            <w:pPr>
              <w:spacing w:after="20"/>
            </w:pPr>
            <w:r>
              <w:rPr>
                <w:b/>
                <w:sz w:val="20"/>
              </w:rPr>
              <w:t>Servicio al cliente activo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2. Atención al cliente activo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Contacto del cliente después del período de control de calidad, o hito 12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Solicitud administrativa resuelta, o solicitud derivada y registrada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Ficha v0.1 (carpeta 03)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3. Mantenimiento correctivo y reclamos técnicos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Caso técnico: hito 11, derivación de Atención o central de monitoreo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Falla resuelta y cierre confirmado con el cliente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Servicio Técnico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Ficha v0.1 (carpeta 04)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4. Mantenimiento preventivo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Calendario de revisiones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Revisión registrada (puede abrir un correctivo)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Servicio Técnico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Planteado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10. Monitoreo de alarmas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Evento recibido en la central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Evento atendido y cerrado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Planteado</w:t>
            </w:r>
          </w:p>
        </w:tc>
      </w:tr>
      <w:tr>
        <w:tc>
          <w:tcPr>
            <w:tcW w:type="dxa" w:w="9745"/>
            <w:tcW w:type="dxa" w:w="2400"/>
            <w:gridSpan w:val="5"/>
            <w:shd w:val="clear" w:color="auto" w:fill="EEF2F7"/>
          </w:tcPr>
          <w:p>
            <w:pPr>
              <w:spacing w:after="20"/>
            </w:pPr>
            <w:r>
              <w:rPr>
                <w:b/>
                <w:sz w:val="20"/>
              </w:rPr>
              <w:t>Desarrollo y retención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5. Ampliaciones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Nueva necesidad de un cliente actual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Ampliación instalada y cobrada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Ampliaciones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Planteado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6. Bajas y retención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Pedido de baja o mora no resuelta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Cliente retenido, o baja formalizada con equipo retirado y reingresado a Depósito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Planteado</w:t>
            </w:r>
          </w:p>
        </w:tc>
      </w:tr>
      <w:tr>
        <w:tc>
          <w:tcPr>
            <w:tcW w:type="dxa" w:w="9745"/>
            <w:tcW w:type="dxa" w:w="2400"/>
            <w:gridSpan w:val="5"/>
            <w:shd w:val="clear" w:color="auto" w:fill="EEF2F7"/>
          </w:tcPr>
          <w:p>
            <w:pPr>
              <w:spacing w:after="20"/>
            </w:pPr>
            <w:r>
              <w:rPr>
                <w:b/>
                <w:sz w:val="20"/>
              </w:rPr>
              <w:t>Gestión económica del cliente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7. Cobranza recurrente y gestión de mora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Ciclo mensual de facturación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Abono cobrado, o mora derivada a Bajas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Planteado</w:t>
            </w:r>
          </w:p>
        </w:tc>
      </w:tr>
      <w:tr>
        <w:tc>
          <w:tcPr>
            <w:tcW w:type="dxa" w:w="9745"/>
            <w:tcW w:type="dxa" w:w="2400"/>
            <w:gridSpan w:val="5"/>
            <w:shd w:val="clear" w:color="auto" w:fill="EEF2F7"/>
          </w:tcPr>
          <w:p>
            <w:pPr>
              <w:spacing w:after="20"/>
            </w:pPr>
            <w:r>
              <w:rPr>
                <w:b/>
                <w:sz w:val="20"/>
              </w:rPr>
              <w:t>Apoyo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8. Inventario y abastecimiento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Pedido de materiales o planificación sobre presupuestos comprometidos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Material entregado o recibido y stock registrado en NetSuite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Depósito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Planteado</w:t>
            </w:r>
          </w:p>
        </w:tc>
      </w:tr>
      <w:tr>
        <w:tc>
          <w:tcPr>
            <w:tcW w:type="dxa" w:w="1949"/>
            <w:tcW w:type="dxa" w:w="2400"/>
          </w:tcPr>
          <w:p>
            <w:pPr>
              <w:spacing w:after="20"/>
            </w:pPr>
            <w:r>
              <w:rPr>
                <w:b w:val="0"/>
                <w:sz w:val="20"/>
              </w:rPr>
              <w:t>9. Compras</w:t>
            </w:r>
          </w:p>
        </w:tc>
        <w:tc>
          <w:tcPr>
            <w:tcW w:type="dxa" w:w="1949"/>
            <w:tcW w:type="dxa" w:w="2000"/>
          </w:tcPr>
          <w:p>
            <w:pPr>
              <w:spacing w:after="20"/>
            </w:pPr>
            <w:r>
              <w:rPr>
                <w:b w:val="0"/>
                <w:sz w:val="20"/>
              </w:rPr>
              <w:t>Necesidad de reposición</w:t>
            </w:r>
          </w:p>
        </w:tc>
        <w:tc>
          <w:tcPr>
            <w:tcW w:type="dxa" w:w="1949"/>
            <w:tcW w:type="dxa" w:w="2300"/>
          </w:tcPr>
          <w:p>
            <w:pPr>
              <w:spacing w:after="20"/>
            </w:pPr>
            <w:r>
              <w:rPr>
                <w:b w:val="0"/>
                <w:sz w:val="20"/>
              </w:rPr>
              <w:t>Mercadería recibida en Central</w:t>
            </w:r>
          </w:p>
        </w:tc>
        <w:tc>
          <w:tcPr>
            <w:tcW w:type="dxa" w:w="19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19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Planteado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b/>
          <w:color w:val="3B5B8C"/>
          <w:sz w:val="22"/>
        </w:rPr>
        <w:t>Criterios de agrupación</w:t>
      </w:r>
    </w:p>
    <w:p>
      <w:pPr>
        <w:pStyle w:val="ListBullet"/>
        <w:spacing w:after="40"/>
      </w:pPr>
      <w:r>
        <w:rPr>
          <w:b/>
        </w:rPr>
        <w:t>Atención al cliente activo:</w:t>
      </w:r>
      <w:r>
        <w:rPr>
          <w:b w:val="0"/>
        </w:rPr>
        <w:t xml:space="preserve"> la clasificación y la gestión administrativa forman un solo proceso porque las hace la misma área, casi siempre en el mismo contacto. La clasificación es un paso al inicio del proceso.</w:t>
      </w:r>
    </w:p>
    <w:p>
      <w:pPr>
        <w:pStyle w:val="ListBullet"/>
        <w:spacing w:after="40"/>
      </w:pPr>
      <w:r>
        <w:rPr>
          <w:b/>
        </w:rPr>
        <w:t>Inventario y abastecimiento:</w:t>
      </w:r>
      <w:r>
        <w:rPr>
          <w:b w:val="0"/>
        </w:rPr>
        <w:t xml:space="preserve"> Depósito tiene una sola interfaz hacia afuera (pedidos, entregas y devoluciones) que usan Nuevos clientes, Correctivo, Ampliaciones y Bajas. Comodato, recuentos y ajustes quedan como subprocesos internos.</w:t>
      </w:r>
    </w:p>
    <w:p>
      <w:pPr>
        <w:pStyle w:val="ListBullet"/>
        <w:spacing w:after="40"/>
      </w:pPr>
      <w:r>
        <w:rPr>
          <w:b/>
        </w:rPr>
        <w:t>Monitoreo de alarmas:</w:t>
      </w:r>
      <w:r>
        <w:rPr>
          <w:b w:val="0"/>
        </w:rPr>
        <w:t xml:space="preserve"> es el servicio principal de la empresa y ya es una entrada a Correctivo. Se incluye en el mapa aunque se modele más adelante.</w:t>
      </w:r>
    </w:p>
    <w:p>
      <w:pPr>
        <w:pStyle w:val="ListBullet"/>
        <w:spacing w:after="40"/>
      </w:pPr>
      <w:r>
        <w:rPr>
          <w:b/>
        </w:rPr>
        <w:t>Procesos estratégicos:</w:t>
      </w:r>
      <w:r>
        <w:rPr>
          <w:b w:val="0"/>
        </w:rPr>
        <w:t xml:space="preserve"> planificación, marketing y mejora continua se nombran en el mapa del portal, sin modelar por ahora.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Definiciones para el próximo proceso: Atención al cliente activo</w:t>
      </w:r>
    </w:p>
    <w:p>
      <w:pPr>
        <w:pStyle w:val="ListBullet"/>
        <w:spacing w:after="40"/>
      </w:pPr>
      <w:r>
        <w:rPr>
          <w:b/>
        </w:rPr>
        <w:t>Quién clasifica:</w:t>
      </w:r>
      <w:r>
        <w:rPr>
          <w:b w:val="0"/>
        </w:rPr>
        <w:t xml:space="preserve"> durante el período de control de calidad, Posventa es quien tiene contacto con el cliente y clasifica (hito 9, dentro de este proceso). Después de ese período, las consultas se derivan al área correspondiente y clasifica Atención al Cliente. Cuando se implemente el bot de GHL se revisa el proceso.</w:t>
      </w:r>
    </w:p>
    <w:p>
      <w:pPr>
        <w:pStyle w:val="ListBullet"/>
        <w:spacing w:after="40"/>
      </w:pPr>
      <w:r>
        <w:rPr>
          <w:b/>
        </w:rPr>
        <w:t>Canales de entrada:</w:t>
      </w:r>
      <w:r>
        <w:rPr>
          <w:b w:val="0"/>
        </w:rPr>
        <w:t xml:space="preserve"> WhatsApp (GHL), teléfono y correo. La central de monitoreo también es una entrada, pero solo para casos de Servicio Técnico fuera del horario de atención o en casos puntuales (a definir).</w:t>
      </w:r>
    </w:p>
    <w:p>
      <w:pPr>
        <w:pStyle w:val="ListBullet"/>
        <w:spacing w:after="40"/>
      </w:pPr>
      <w:r>
        <w:rPr>
          <w:b/>
        </w:rPr>
        <w:t>Categorías:</w:t>
      </w:r>
      <w:r>
        <w:rPr>
          <w:b w:val="0"/>
        </w:rPr>
        <w:t xml:space="preserve"> técnica, administrativa, comercial y baja.</w:t>
      </w:r>
    </w:p>
    <w:p>
      <w:pPr>
        <w:pStyle w:val="ListBullet"/>
        <w:spacing w:after="40"/>
      </w:pPr>
      <w:r>
        <w:rPr>
          <w:b/>
        </w:rPr>
        <w:t>Dónde vive cada cosa:</w:t>
      </w:r>
      <w:r>
        <w:rPr>
          <w:b w:val="0"/>
        </w:rPr>
        <w:t xml:space="preserve"> la categoría se asigna en Atención al cliente activo; el SLA se fija por categoría y se cumple y mide en el proceso que resuelve (por ejemplo, Mantenimiento correctivo para el caso técnico del hito 11).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A definir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6400"/>
        <w:gridCol w:w="3000"/>
      </w:tblGrid>
      <w:tr>
        <w:trPr>
          <w:tblHeader w:val="true"/>
        </w:trPr>
        <w:tc>
          <w:tcPr>
            <w:tcW w:type="dxa" w:w="4873"/>
            <w:tcW w:type="dxa" w:w="64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tcW w:type="dxa" w:w="3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Proceso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Período de garantía posterior a la instalación: duración y tratamiento de las consultas del cliente.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Nuevos clientes / Atención al cliente activo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fuera del horario y casos que toma la central de monitoreo.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 activo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SLA por categoría.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 activo / procesos que resuelven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Qué hace el vendedor si no hay stock y en qué momento se reserva.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Nuevos clientes (etapa 4)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Tratamiento de sobrantes y de equipos instalados distinto a lo presupuestado, junto con el rediseño de documentos internos y aprobaciones de pendientes en NetSuite.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Nuevos clientes (etapa 9) / Inventario y abastecimiento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Registro del comodato con número de serie y quién lo carga.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Nuevos clientes (etapa 9)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Quién confirma con el cliente el cierre de cada solicitud.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 activo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Preventivo: si se hace hoy, frecuencia y quién lo programa.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Mantenimiento preventivo</w:t>
            </w:r>
          </w:p>
        </w:tc>
      </w:tr>
      <w:tr>
        <w:tc>
          <w:tcPr>
            <w:tcW w:type="dxa" w:w="4873"/>
            <w:tcW w:type="dxa" w:w="6400"/>
          </w:tcPr>
          <w:p>
            <w:pPr>
              <w:spacing w:after="20"/>
            </w:pPr>
            <w:r>
              <w:rPr>
                <w:b w:val="0"/>
                <w:sz w:val="20"/>
              </w:rPr>
              <w:t>Bajas en comodato: retiro del equipo (Instalaciones) y reingreso a Depósito.</w:t>
            </w:r>
          </w:p>
        </w:tc>
        <w:tc>
          <w:tcPr>
            <w:tcW w:type="dxa" w:w="4873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Bajas y retención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Archivos del proceso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600"/>
        <w:gridCol w:w="5800"/>
      </w:tblGrid>
      <w:tr>
        <w:trPr>
          <w:tblHeader w:val="true"/>
        </w:trPr>
        <w:tc>
          <w:tcPr>
            <w:tcW w:type="dxa" w:w="4873"/>
            <w:tcW w:type="dxa" w:w="36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873"/>
            <w:tcW w:type="dxa" w:w="58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873"/>
            <w:tcW w:type="dxa" w:w="3600"/>
          </w:tcPr>
          <w:p>
            <w:pPr>
              <w:spacing w:after="20"/>
            </w:pPr>
            <w:r>
              <w:rPr>
                <w:b w:val="0"/>
                <w:sz w:val="20"/>
              </w:rPr>
              <w:t>nuevos-clientes-venta-consultiva.bpmn</w:t>
            </w:r>
          </w:p>
        </w:tc>
        <w:tc>
          <w:tcPr>
            <w:tcW w:type="dxa" w:w="4873"/>
            <w:tcW w:type="dxa" w:w="5800"/>
          </w:tcPr>
          <w:p>
            <w:pPr>
              <w:spacing w:after="20"/>
            </w:pPr>
            <w:r>
              <w:rPr>
                <w:b w:val="0"/>
                <w:sz w:val="20"/>
              </w:rPr>
              <w:t>Etapas 1 a 5 (Ventas). Incluye la consulta de stock al elaborar el presupuesto.</w:t>
            </w:r>
          </w:p>
        </w:tc>
      </w:tr>
      <w:tr>
        <w:tc>
          <w:tcPr>
            <w:tcW w:type="dxa" w:w="4873"/>
            <w:tcW w:type="dxa" w:w="3600"/>
          </w:tcPr>
          <w:p>
            <w:pPr>
              <w:spacing w:after="20"/>
            </w:pPr>
            <w:r>
              <w:rPr>
                <w:b w:val="0"/>
                <w:sz w:val="20"/>
              </w:rPr>
              <w:t>nuevos-clientes-venta-cobro.bpmn</w:t>
            </w:r>
          </w:p>
        </w:tc>
        <w:tc>
          <w:tcPr>
            <w:tcW w:type="dxa" w:w="4873"/>
            <w:tcW w:type="dxa" w:w="5800"/>
          </w:tcPr>
          <w:p>
            <w:pPr>
              <w:spacing w:after="20"/>
            </w:pPr>
            <w:r>
              <w:rPr>
                <w:b w:val="0"/>
                <w:sz w:val="20"/>
              </w:rPr>
              <w:t>Etapas 6 y 7 (Ventas y Atención al Cliente), con la bienvenida. Hitos 1 y 2.</w:t>
            </w:r>
          </w:p>
        </w:tc>
      </w:tr>
      <w:tr>
        <w:tc>
          <w:tcPr>
            <w:tcW w:type="dxa" w:w="4873"/>
            <w:tcW w:type="dxa" w:w="3600"/>
          </w:tcPr>
          <w:p>
            <w:pPr>
              <w:spacing w:after="20"/>
            </w:pPr>
            <w:r>
              <w:rPr>
                <w:b w:val="0"/>
                <w:sz w:val="20"/>
              </w:rPr>
              <w:t>nuevos-clientes-instalacion-control.bpmn</w:t>
            </w:r>
          </w:p>
        </w:tc>
        <w:tc>
          <w:tcPr>
            <w:tcW w:type="dxa" w:w="4873"/>
            <w:tcW w:type="dxa" w:w="5800"/>
          </w:tcPr>
          <w:p>
            <w:pPr>
              <w:spacing w:after="20"/>
            </w:pPr>
            <w:r>
              <w:rPr>
                <w:b w:val="0"/>
                <w:sz w:val="20"/>
              </w:rPr>
              <w:t>Etapas 8 a 10 (Instalaciones, Depósito y Posventa). Hitos 3 a 12; salidas por los hitos 11 y 12.</w:t>
            </w:r>
          </w:p>
        </w:tc>
      </w:tr>
      <w:tr>
        <w:tc>
          <w:tcPr>
            <w:tcW w:type="dxa" w:w="4873"/>
            <w:tcW w:type="dxa" w:w="3600"/>
          </w:tcPr>
          <w:p>
            <w:pPr>
              <w:spacing w:after="20"/>
            </w:pPr>
            <w:r>
              <w:rPr>
                <w:b w:val="0"/>
                <w:sz w:val="20"/>
              </w:rPr>
              <w:t>matrices-responsabilidades.xlsx</w:t>
            </w:r>
          </w:p>
        </w:tc>
        <w:tc>
          <w:tcPr>
            <w:tcW w:type="dxa" w:w="4873"/>
            <w:tcW w:type="dxa" w:w="5800"/>
          </w:tcPr>
          <w:p>
            <w:pPr>
              <w:spacing w:after="20"/>
            </w:pPr>
            <w:r>
              <w:rPr>
                <w:b w:val="0"/>
                <w:sz w:val="20"/>
              </w:rPr>
              <w:t>Responsabilidades y comunicación por hito, con la columna Depósito y la numeración nueva de etapas.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Registro de cambios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1500"/>
        <w:gridCol w:w="6700"/>
      </w:tblGrid>
      <w:tr>
        <w:trPr>
          <w:tblHeader w:val="true"/>
        </w:trPr>
        <w:tc>
          <w:tcPr>
            <w:tcW w:type="dxa" w:w="3249"/>
            <w:tcW w:type="dxa" w:w="1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249"/>
            <w:tcW w:type="dxa" w:w="15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249"/>
            <w:tcW w:type="dxa" w:w="6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Cambio</w:t>
            </w:r>
          </w:p>
        </w:tc>
      </w:tr>
      <w:tr>
        <w:tc>
          <w:tcPr>
            <w:tcW w:type="dxa" w:w="32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v0.1</w:t>
            </w:r>
          </w:p>
        </w:tc>
        <w:tc>
          <w:tcPr>
            <w:tcW w:type="dxa" w:w="32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17/10/2026</w:t>
            </w:r>
          </w:p>
        </w:tc>
        <w:tc>
          <w:tcPr>
            <w:tcW w:type="dxa" w:w="3249"/>
            <w:tcW w:type="dxa" w:w="6700"/>
          </w:tcPr>
          <w:p>
            <w:pPr>
              <w:spacing w:after="20"/>
            </w:pPr>
            <w:r>
              <w:rPr>
                <w:b w:val="0"/>
                <w:sz w:val="20"/>
              </w:rPr>
              <w:t>Primera versión: alcance acotado, participación de Depósito y procesos relacionados.</w:t>
            </w:r>
          </w:p>
        </w:tc>
      </w:tr>
      <w:tr>
        <w:tc>
          <w:tcPr>
            <w:tcW w:type="dxa" w:w="32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v0.2</w:t>
            </w:r>
          </w:p>
        </w:tc>
        <w:tc>
          <w:tcPr>
            <w:tcW w:type="dxa" w:w="32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17/10/2026</w:t>
            </w:r>
          </w:p>
        </w:tc>
        <w:tc>
          <w:tcPr>
            <w:tcW w:type="dxa" w:w="3249"/>
            <w:tcW w:type="dxa" w:w="6700"/>
          </w:tcPr>
          <w:p>
            <w:pPr>
              <w:spacing w:after="20"/>
            </w:pPr>
            <w:r>
              <w:rPr>
                <w:b w:val="0"/>
                <w:sz w:val="20"/>
              </w:rPr>
              <w:t>Mapa de procesos: 10 procesos con alcance; Atención al cliente activo unifica clasificación y gestión administrativa; Inventario y abastecimiento unifica gestión de stock y abastecimiento; se suma Monitoreo de alarmas.</w:t>
            </w:r>
          </w:p>
        </w:tc>
      </w:tr>
      <w:tr>
        <w:tc>
          <w:tcPr>
            <w:tcW w:type="dxa" w:w="32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v0.3</w:t>
            </w:r>
          </w:p>
        </w:tc>
        <w:tc>
          <w:tcPr>
            <w:tcW w:type="dxa" w:w="32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19/10/2026</w:t>
            </w:r>
          </w:p>
        </w:tc>
        <w:tc>
          <w:tcPr>
            <w:tcW w:type="dxa" w:w="3249"/>
            <w:tcW w:type="dxa" w:w="6700"/>
          </w:tcPr>
          <w:p>
            <w:pPr>
              <w:spacing w:after="20"/>
            </w:pPr>
            <w:r>
              <w:rPr>
                <w:b w:val="0"/>
                <w:sz w:val="20"/>
              </w:rPr>
              <w:t>Cambios aplicados en la matriz y los BPMN; nuevo diagrama de instalación y control de calidad; fichas de Atención al cliente activo y Mantenimiento correctivo.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SP Seguridad Privada · Ficha del proceso Nuevos clientes con alarmas y/o cámaras ·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