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2A44"/>
          <w:sz w:val="40"/>
        </w:rPr>
        <w:t>Minuta de reunión · R2</w:t>
      </w:r>
    </w:p>
    <w:p>
      <w:pPr>
        <w:spacing w:after="200"/>
      </w:pPr>
      <w:r>
        <w:rPr>
          <w:color w:val="595959"/>
          <w:sz w:val="22"/>
        </w:rPr>
        <w:t>Ciclo de reuniones de mejora · Proceso "Nuevos clientes con instalación de alarmas y/o cámaras"</w:t>
      </w:r>
    </w:p>
    <w:tbl>
      <w:tblPr>
        <w:tblW w:type="auto" w:w="0"/>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551"/>
        <w:gridCol w:w="6860"/>
      </w:tblGrid>
      <w:tr>
        <w:tc>
          <w:tcPr>
            <w:tcW w:type="dxa" w:w="2551"/>
            <w:shd w:val="clear" w:color="auto" w:fill="EEF1F6"/>
          </w:tcPr>
          <w:p>
            <w:r/>
            <w:r>
              <w:rPr>
                <w:b/>
                <w:color w:val="1F2A44"/>
                <w:sz w:val="20"/>
              </w:rPr>
              <w:t>Fecha</w:t>
            </w:r>
          </w:p>
        </w:tc>
        <w:tc>
          <w:tcPr>
            <w:tcW w:type="dxa" w:w="6860"/>
          </w:tcPr>
          <w:p>
            <w:r>
              <w:rPr>
                <w:sz w:val="20"/>
              </w:rPr>
            </w:r>
            <w:r>
              <w:rPr>
                <w:b w:val="0"/>
                <w:sz w:val="20"/>
              </w:rPr>
              <w:t>30/09/2026</w:t>
            </w:r>
          </w:p>
        </w:tc>
      </w:tr>
      <w:tr>
        <w:tc>
          <w:tcPr>
            <w:tcW w:type="dxa" w:w="2551"/>
            <w:shd w:val="clear" w:color="auto" w:fill="EEF1F6"/>
          </w:tcPr>
          <w:p>
            <w:r/>
            <w:r>
              <w:rPr>
                <w:b/>
                <w:color w:val="1F2A44"/>
                <w:sz w:val="20"/>
              </w:rPr>
              <w:t>Reunión</w:t>
            </w:r>
          </w:p>
        </w:tc>
        <w:tc>
          <w:tcPr>
            <w:tcW w:type="dxa" w:w="6860"/>
          </w:tcPr>
          <w:p>
            <w:r>
              <w:rPr>
                <w:sz w:val="20"/>
              </w:rPr>
            </w:r>
            <w:r>
              <w:rPr>
                <w:b w:val="0"/>
                <w:sz w:val="20"/>
              </w:rPr>
              <w:t>N° 2 del ciclo de mejora</w:t>
            </w:r>
          </w:p>
        </w:tc>
      </w:tr>
      <w:tr>
        <w:tc>
          <w:tcPr>
            <w:tcW w:type="dxa" w:w="2551"/>
            <w:shd w:val="clear" w:color="auto" w:fill="EEF1F6"/>
          </w:tcPr>
          <w:p>
            <w:r/>
            <w:r>
              <w:rPr>
                <w:b/>
                <w:color w:val="1F2A44"/>
                <w:sz w:val="20"/>
              </w:rPr>
              <w:t>Subproceso</w:t>
            </w:r>
          </w:p>
        </w:tc>
        <w:tc>
          <w:tcPr>
            <w:tcW w:type="dxa" w:w="6860"/>
          </w:tcPr>
          <w:p>
            <w:r>
              <w:rPr>
                <w:sz w:val="20"/>
              </w:rPr>
            </w:r>
            <w:r>
              <w:rPr>
                <w:b w:val="0"/>
                <w:sz w:val="20"/>
              </w:rPr>
              <w:t>Confirmación de la venta y cobro (Ventas → Atención al Cliente)</w:t>
            </w:r>
          </w:p>
        </w:tc>
      </w:tr>
      <w:tr>
        <w:tc>
          <w:tcPr>
            <w:tcW w:type="dxa" w:w="2551"/>
            <w:shd w:val="clear" w:color="auto" w:fill="EEF1F6"/>
          </w:tcPr>
          <w:p>
            <w:r/>
            <w:r>
              <w:rPr>
                <w:b/>
                <w:color w:val="1F2A44"/>
                <w:sz w:val="20"/>
              </w:rPr>
              <w:t>Hitos relacionados</w:t>
            </w:r>
          </w:p>
        </w:tc>
        <w:tc>
          <w:tcPr>
            <w:tcW w:type="dxa" w:w="6860"/>
          </w:tcPr>
          <w:p>
            <w:r>
              <w:rPr>
                <w:sz w:val="20"/>
              </w:rPr>
            </w:r>
            <w:r>
              <w:rPr>
                <w:b w:val="0"/>
                <w:sz w:val="20"/>
              </w:rPr>
              <w:t>1 (cierre de la venta) y 2 (cobro del 100% y caso de instalación)</w:t>
            </w:r>
          </w:p>
        </w:tc>
      </w:tr>
    </w:tbl>
    <w:p>
      <w:pPr>
        <w:spacing w:after="40"/>
      </w:pPr>
    </w:p>
    <w:p>
      <w:pPr>
        <w:keepNext/>
        <w:spacing w:before="240" w:after="80"/>
        <w:pBdr>
          <w:left w:val="single" w:sz="18" w:space="8" w:color="3B5B8C"/>
        </w:pBdr>
      </w:pPr>
      <w:r>
        <w:rPr>
          <w:b/>
          <w:color w:val="1F2A44"/>
          <w:sz w:val="26"/>
        </w:rPr>
        <w:t>Participantes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2"/>
        <w:gridCol w:w="6009"/>
      </w:tblGrid>
      <w:tr>
        <w:trPr>
          <w:tblHeader w:val="true"/>
        </w:trPr>
        <w:tc>
          <w:tcPr>
            <w:tcW w:type="dxa" w:w="3402"/>
            <w:shd w:val="clear" w:color="auto" w:fill="1F2A44"/>
          </w:tcPr>
          <w:p>
            <w:pPr>
              <w:keepNext/>
            </w:pPr>
            <w:r/>
            <w:r>
              <w:rPr>
                <w:b/>
                <w:color w:val="FFFFFF"/>
                <w:sz w:val="20"/>
              </w:rPr>
              <w:t>Nombre</w:t>
            </w:r>
          </w:p>
        </w:tc>
        <w:tc>
          <w:tcPr>
            <w:tcW w:type="dxa" w:w="6009"/>
            <w:shd w:val="clear" w:color="auto" w:fill="1F2A44"/>
          </w:tcPr>
          <w:p>
            <w:pPr>
              <w:keepNext/>
            </w:pPr>
            <w:r/>
            <w:r>
              <w:rPr>
                <w:b/>
                <w:color w:val="FFFFFF"/>
                <w:sz w:val="20"/>
              </w:rPr>
              <w:t>Cargo / área</w:t>
            </w:r>
          </w:p>
        </w:tc>
      </w:tr>
      <w:tr>
        <w:tc>
          <w:tcPr>
            <w:tcW w:type="dxa" w:w="3402"/>
          </w:tcPr>
          <w:p>
            <w:pPr>
              <w:keepNext/>
            </w:pPr>
            <w:r>
              <w:rPr>
                <w:sz w:val="20"/>
              </w:rPr>
            </w:r>
            <w:r>
              <w:rPr>
                <w:b w:val="0"/>
                <w:sz w:val="20"/>
              </w:rPr>
              <w:t>Martín Ramos</w:t>
            </w:r>
          </w:p>
        </w:tc>
        <w:tc>
          <w:tcPr>
            <w:tcW w:type="dxa" w:w="6009"/>
          </w:tcPr>
          <w:p>
            <w:pPr>
              <w:keepNext/>
            </w:pPr>
            <w:r>
              <w:rPr>
                <w:sz w:val="20"/>
              </w:rPr>
            </w:r>
            <w:r>
              <w:rPr>
                <w:b w:val="0"/>
                <w:sz w:val="20"/>
              </w:rPr>
              <w:t>Jefe de Ventas</w:t>
            </w:r>
          </w:p>
        </w:tc>
      </w:tr>
      <w:tr>
        <w:tc>
          <w:tcPr>
            <w:tcW w:type="dxa" w:w="3402"/>
          </w:tcPr>
          <w:p>
            <w:pPr>
              <w:keepNext/>
            </w:pPr>
            <w:r>
              <w:rPr>
                <w:sz w:val="20"/>
              </w:rPr>
            </w:r>
            <w:r>
              <w:rPr>
                <w:b w:val="0"/>
                <w:sz w:val="20"/>
              </w:rPr>
              <w:t>Vanina Saint Miqueu</w:t>
            </w:r>
          </w:p>
        </w:tc>
        <w:tc>
          <w:tcPr>
            <w:tcW w:type="dxa" w:w="6009"/>
          </w:tcPr>
          <w:p>
            <w:pPr>
              <w:keepNext/>
            </w:pPr>
            <w:r>
              <w:rPr>
                <w:sz w:val="20"/>
              </w:rPr>
            </w:r>
            <w:r>
              <w:rPr>
                <w:b w:val="0"/>
                <w:sz w:val="20"/>
              </w:rPr>
              <w:t>Encargada de Atención al Cliente</w:t>
            </w:r>
          </w:p>
        </w:tc>
      </w:tr>
      <w:tr>
        <w:tc>
          <w:tcPr>
            <w:tcW w:type="dxa" w:w="3402"/>
          </w:tcPr>
          <w:p>
            <w:pPr>
              <w:keepNext/>
            </w:pPr>
            <w:r>
              <w:rPr>
                <w:sz w:val="20"/>
              </w:rPr>
            </w:r>
            <w:r>
              <w:rPr>
                <w:b w:val="0"/>
                <w:sz w:val="20"/>
              </w:rPr>
              <w:t>Belén Amar</w:t>
            </w:r>
          </w:p>
        </w:tc>
        <w:tc>
          <w:tcPr>
            <w:tcW w:type="dxa" w:w="6009"/>
          </w:tcPr>
          <w:p>
            <w:pPr>
              <w:keepNext/>
            </w:pPr>
            <w:r>
              <w:rPr>
                <w:sz w:val="20"/>
              </w:rPr>
            </w:r>
            <w:r>
              <w:rPr>
                <w:b w:val="0"/>
                <w:sz w:val="20"/>
              </w:rPr>
              <w:t>Gerente de Administración y Finanzas</w:t>
            </w:r>
          </w:p>
        </w:tc>
      </w:tr>
      <w:tr>
        <w:tc>
          <w:tcPr>
            <w:tcW w:type="dxa" w:w="3402"/>
          </w:tcPr>
          <w:p>
            <w:pPr>
              <w:keepNext/>
            </w:pPr>
            <w:r>
              <w:rPr>
                <w:sz w:val="20"/>
              </w:rPr>
            </w:r>
            <w:r>
              <w:rPr>
                <w:b w:val="0"/>
                <w:sz w:val="20"/>
              </w:rPr>
              <w:t>Federico Ordoqui</w:t>
            </w:r>
          </w:p>
        </w:tc>
        <w:tc>
          <w:tcPr>
            <w:tcW w:type="dxa" w:w="6009"/>
          </w:tcPr>
          <w:p>
            <w:pPr>
              <w:keepNext/>
            </w:pPr>
            <w:r>
              <w:rPr>
                <w:sz w:val="20"/>
              </w:rPr>
            </w:r>
            <w:r>
              <w:rPr>
                <w:b w:val="0"/>
                <w:sz w:val="20"/>
              </w:rPr>
              <w:t>Gerente de Comercialización y Marketing</w:t>
            </w:r>
          </w:p>
        </w:tc>
      </w:tr>
      <w:tr>
        <w:tc>
          <w:tcPr>
            <w:tcW w:type="dxa" w:w="3402"/>
          </w:tcPr>
          <w:p>
            <w:r>
              <w:rPr>
                <w:sz w:val="20"/>
              </w:rPr>
            </w:r>
            <w:r>
              <w:rPr>
                <w:b w:val="0"/>
                <w:sz w:val="20"/>
              </w:rPr>
              <w:t>Martín Wolcan</w:t>
            </w:r>
          </w:p>
        </w:tc>
        <w:tc>
          <w:tcPr>
            <w:tcW w:type="dxa" w:w="6009"/>
          </w:tcPr>
          <w:p>
            <w:r>
              <w:rPr>
                <w:sz w:val="20"/>
              </w:rPr>
            </w:r>
            <w:r>
              <w:rPr>
                <w:b w:val="0"/>
                <w:sz w:val="20"/>
              </w:rPr>
              <w:t>Gerente de Procesos y Mejora Continua</w:t>
            </w:r>
          </w:p>
        </w:tc>
      </w:tr>
    </w:tbl>
    <w:p>
      <w:pPr>
        <w:spacing w:after="40"/>
      </w:pPr>
    </w:p>
    <w:p>
      <w:pPr>
        <w:keepNext/>
        <w:spacing w:before="240" w:after="80"/>
        <w:pBdr>
          <w:left w:val="single" w:sz="18" w:space="8" w:color="3B5B8C"/>
        </w:pBdr>
      </w:pPr>
      <w:r>
        <w:rPr>
          <w:b/>
          <w:color w:val="1F2A44"/>
          <w:sz w:val="26"/>
        </w:rPr>
        <w:t>Objetivo</w:t>
      </w:r>
    </w:p>
    <w:p>
      <w:r>
        <w:rPr>
          <w:b w:val="0"/>
        </w:rPr>
        <w:t>Definir el proceso a grandes rasgos, relevar las problemáticas actuales y definir la metodología de trabajo para implementar el proceso.</w:t>
      </w:r>
    </w:p>
    <w:p>
      <w:pPr>
        <w:keepNext/>
        <w:spacing w:before="240" w:after="80"/>
        <w:pBdr>
          <w:left w:val="single" w:sz="18" w:space="8" w:color="3B5B8C"/>
        </w:pBdr>
      </w:pPr>
      <w:r>
        <w:rPr>
          <w:b/>
          <w:color w:val="1F2A44"/>
          <w:sz w:val="26"/>
        </w:rPr>
        <w:t>Temas tratados</w:t>
      </w:r>
    </w:p>
    <w:p>
      <w:pPr>
        <w:pStyle w:val="ListNumber"/>
        <w:spacing w:after="40"/>
      </w:pPr>
      <w:r>
        <w:rPr>
          <w:b/>
        </w:rPr>
        <w:t>Situación actual de Ventas.</w:t>
      </w:r>
      <w:r>
        <w:rPr>
          <w:b w:val="0"/>
        </w:rPr>
        <w:t xml:space="preserve"> Se realiza la venta consultiva con visita al domicilio del cliente (etapas 1 a 5). En la etapa 6, si el cliente confirma la venta, se inicia el traspaso a Atención al Cliente.</w:t>
      </w:r>
    </w:p>
    <w:p>
      <w:pPr>
        <w:pStyle w:val="ListNumber"/>
        <w:spacing w:after="40"/>
      </w:pPr>
      <w:r>
        <w:rPr>
          <w:b/>
        </w:rPr>
        <w:t>Comunicación al cliente en el traspaso.</w:t>
      </w:r>
      <w:r>
        <w:rPr>
          <w:b w:val="0"/>
        </w:rPr>
        <w:t xml:space="preserve"> Hay que reforzar la comunicación sobre cómo continúa el proceso. Problema frecuente: el cliente mantiene el contacto con su vendedor y, cuando Atención al Cliente lo contacta para gestionar el pago, no responde por tratarse de un número desconocido y de una operación que involucra un pago (efectivo en la empresa o transferencia).</w:t>
      </w:r>
    </w:p>
    <w:p>
      <w:pPr>
        <w:pStyle w:val="ListNumber"/>
        <w:spacing w:after="40"/>
      </w:pPr>
      <w:r>
        <w:rPr>
          <w:b/>
        </w:rPr>
        <w:t>Intentos de contacto sin respuesta.</w:t>
      </w:r>
      <w:r>
        <w:rPr>
          <w:b w:val="0"/>
        </w:rPr>
        <w:t xml:space="preserve"> No está definido cuántas veces intenta Atención al Cliente, por qué medios, ni en qué momento devuelve la situación al vendedor para que retome el contacto. Se planteó que GHL puede formalizar este ida y vuelta y enviar mensajes automáticos de seguimiento al cliente.</w:t>
      </w:r>
    </w:p>
    <w:p>
      <w:pPr>
        <w:pStyle w:val="ListNumber"/>
        <w:spacing w:after="40"/>
      </w:pPr>
      <w:r>
        <w:rPr>
          <w:b/>
        </w:rPr>
        <w:t>Actualización del presupuesto.</w:t>
      </w:r>
      <w:r>
        <w:rPr>
          <w:b w:val="0"/>
        </w:rPr>
        <w:t xml:space="preserve"> Se propone definir una fecha límite de vigencia de los valores e informar al cliente, por ejemplo: "quedan X días para que se actualice su presupuesto".</w:t>
      </w:r>
    </w:p>
    <w:p>
      <w:pPr>
        <w:pStyle w:val="ListNumber"/>
        <w:spacing w:after="40"/>
      </w:pPr>
      <w:r>
        <w:rPr>
          <w:b/>
        </w:rPr>
        <w:t>Presupuestos no cobrados.</w:t>
      </w:r>
      <w:r>
        <w:rPr>
          <w:b w:val="0"/>
        </w:rPr>
        <w:t xml:space="preserve"> Hay que definir en qué momento un presupuesto aceptado y no cobrado pasa a ser una venta perdida.</w:t>
      </w:r>
    </w:p>
    <w:p>
      <w:pPr>
        <w:keepNext/>
        <w:spacing w:before="240" w:after="80"/>
        <w:pBdr>
          <w:left w:val="single" w:sz="18" w:space="8" w:color="3B5B8C"/>
        </w:pBdr>
      </w:pPr>
      <w:r>
        <w:rPr>
          <w:b/>
          <w:color w:val="1F2A44"/>
          <w:sz w:val="26"/>
        </w:rPr>
        <w:t>Puntos a definir</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67"/>
        <w:gridCol w:w="6009"/>
        <w:gridCol w:w="2835"/>
      </w:tblGrid>
      <w:tr>
        <w:trPr>
          <w:tblHeader w:val="true"/>
        </w:trPr>
        <w:tc>
          <w:tcPr>
            <w:tcW w:type="dxa" w:w="567"/>
            <w:shd w:val="clear" w:color="auto" w:fill="1F2A44"/>
          </w:tcPr>
          <w:p>
            <w:pPr>
              <w:keepNext/>
            </w:pPr>
            <w:r/>
            <w:r>
              <w:rPr>
                <w:b/>
                <w:color w:val="FFFFFF"/>
                <w:sz w:val="20"/>
              </w:rPr>
              <w:t>N°</w:t>
            </w:r>
          </w:p>
        </w:tc>
        <w:tc>
          <w:tcPr>
            <w:tcW w:type="dxa" w:w="6009"/>
            <w:shd w:val="clear" w:color="auto" w:fill="1F2A44"/>
          </w:tcPr>
          <w:p>
            <w:pPr>
              <w:keepNext/>
            </w:pPr>
            <w:r/>
            <w:r>
              <w:rPr>
                <w:b/>
                <w:color w:val="FFFFFF"/>
                <w:sz w:val="20"/>
              </w:rPr>
              <w:t>Punto</w:t>
            </w:r>
          </w:p>
        </w:tc>
        <w:tc>
          <w:tcPr>
            <w:tcW w:type="dxa" w:w="2835"/>
            <w:shd w:val="clear" w:color="auto" w:fill="1F2A44"/>
          </w:tcPr>
          <w:p>
            <w:pPr>
              <w:keepNext/>
            </w:pPr>
            <w:r/>
            <w:r>
              <w:rPr>
                <w:b/>
                <w:color w:val="FFFFFF"/>
                <w:sz w:val="20"/>
              </w:rPr>
              <w:t>Áreas involucradas</w:t>
            </w:r>
          </w:p>
        </w:tc>
      </w:tr>
      <w:tr>
        <w:tc>
          <w:tcPr>
            <w:tcW w:type="dxa" w:w="567"/>
          </w:tcPr>
          <w:p>
            <w:pPr>
              <w:keepNext/>
            </w:pPr>
            <w:r>
              <w:rPr>
                <w:sz w:val="20"/>
              </w:rPr>
            </w:r>
            <w:r>
              <w:rPr>
                <w:b w:val="0"/>
                <w:sz w:val="20"/>
              </w:rPr>
              <w:t>1</w:t>
            </w:r>
          </w:p>
        </w:tc>
        <w:tc>
          <w:tcPr>
            <w:tcW w:type="dxa" w:w="6009"/>
          </w:tcPr>
          <w:p>
            <w:pPr>
              <w:keepNext/>
            </w:pPr>
            <w:r>
              <w:rPr>
                <w:sz w:val="20"/>
              </w:rPr>
            </w:r>
            <w:r>
              <w:rPr>
                <w:b w:val="0"/>
                <w:sz w:val="20"/>
              </w:rPr>
              <w:t>Información que necesita Atención al Cliente para iniciar la etapa 7 (datos mínimos del traspaso).</w:t>
            </w:r>
          </w:p>
        </w:tc>
        <w:tc>
          <w:tcPr>
            <w:tcW w:type="dxa" w:w="2835"/>
          </w:tcPr>
          <w:p>
            <w:pPr>
              <w:keepNext/>
            </w:pPr>
            <w:r>
              <w:rPr>
                <w:sz w:val="20"/>
              </w:rPr>
            </w:r>
            <w:r>
              <w:rPr>
                <w:b w:val="0"/>
                <w:sz w:val="20"/>
              </w:rPr>
              <w:t>Ventas · Atención al Cliente</w:t>
            </w:r>
          </w:p>
        </w:tc>
      </w:tr>
      <w:tr>
        <w:tc>
          <w:tcPr>
            <w:tcW w:type="dxa" w:w="567"/>
          </w:tcPr>
          <w:p>
            <w:pPr>
              <w:keepNext/>
            </w:pPr>
            <w:r>
              <w:rPr>
                <w:sz w:val="20"/>
              </w:rPr>
            </w:r>
            <w:r>
              <w:rPr>
                <w:b w:val="0"/>
                <w:sz w:val="20"/>
              </w:rPr>
              <w:t>2</w:t>
            </w:r>
          </w:p>
        </w:tc>
        <w:tc>
          <w:tcPr>
            <w:tcW w:type="dxa" w:w="6009"/>
          </w:tcPr>
          <w:p>
            <w:pPr>
              <w:keepNext/>
            </w:pPr>
            <w:r>
              <w:rPr>
                <w:sz w:val="20"/>
              </w:rPr>
            </w:r>
            <w:r>
              <w:rPr>
                <w:b w:val="0"/>
                <w:sz w:val="20"/>
              </w:rPr>
              <w:t>Comunicación al cliente sobre cómo sigue el proceso después de confirmar la venta.</w:t>
            </w:r>
          </w:p>
        </w:tc>
        <w:tc>
          <w:tcPr>
            <w:tcW w:type="dxa" w:w="2835"/>
          </w:tcPr>
          <w:p>
            <w:pPr>
              <w:keepNext/>
            </w:pPr>
            <w:r>
              <w:rPr>
                <w:sz w:val="20"/>
              </w:rPr>
            </w:r>
            <w:r>
              <w:rPr>
                <w:b w:val="0"/>
                <w:sz w:val="20"/>
              </w:rPr>
              <w:t>Ventas · Atención al Cliente</w:t>
            </w:r>
          </w:p>
        </w:tc>
      </w:tr>
      <w:tr>
        <w:tc>
          <w:tcPr>
            <w:tcW w:type="dxa" w:w="567"/>
          </w:tcPr>
          <w:p>
            <w:pPr>
              <w:keepNext/>
            </w:pPr>
            <w:r>
              <w:rPr>
                <w:sz w:val="20"/>
              </w:rPr>
            </w:r>
            <w:r>
              <w:rPr>
                <w:b w:val="0"/>
                <w:sz w:val="20"/>
              </w:rPr>
              <w:t>3</w:t>
            </w:r>
          </w:p>
        </w:tc>
        <w:tc>
          <w:tcPr>
            <w:tcW w:type="dxa" w:w="6009"/>
          </w:tcPr>
          <w:p>
            <w:pPr>
              <w:keepNext/>
            </w:pPr>
            <w:r>
              <w:rPr>
                <w:sz w:val="20"/>
              </w:rPr>
            </w:r>
            <w:r>
              <w:rPr>
                <w:b w:val="0"/>
                <w:sz w:val="20"/>
              </w:rPr>
              <w:t>Protocolo de contacto sin respuesta: cantidad de intentos, medios, plazos y devolución al vendedor.</w:t>
            </w:r>
          </w:p>
        </w:tc>
        <w:tc>
          <w:tcPr>
            <w:tcW w:type="dxa" w:w="2835"/>
          </w:tcPr>
          <w:p>
            <w:pPr>
              <w:keepNext/>
            </w:pPr>
            <w:r>
              <w:rPr>
                <w:sz w:val="20"/>
              </w:rPr>
            </w:r>
            <w:r>
              <w:rPr>
                <w:b w:val="0"/>
                <w:sz w:val="20"/>
              </w:rPr>
              <w:t>Atención al Cliente · Ventas</w:t>
            </w:r>
          </w:p>
        </w:tc>
      </w:tr>
      <w:tr>
        <w:tc>
          <w:tcPr>
            <w:tcW w:type="dxa" w:w="567"/>
          </w:tcPr>
          <w:p>
            <w:pPr>
              <w:keepNext/>
            </w:pPr>
            <w:r>
              <w:rPr>
                <w:sz w:val="20"/>
              </w:rPr>
            </w:r>
            <w:r>
              <w:rPr>
                <w:b w:val="0"/>
                <w:sz w:val="20"/>
              </w:rPr>
              <w:t>4</w:t>
            </w:r>
          </w:p>
        </w:tc>
        <w:tc>
          <w:tcPr>
            <w:tcW w:type="dxa" w:w="6009"/>
          </w:tcPr>
          <w:p>
            <w:pPr>
              <w:keepNext/>
            </w:pPr>
            <w:r>
              <w:rPr>
                <w:sz w:val="20"/>
              </w:rPr>
            </w:r>
            <w:r>
              <w:rPr>
                <w:b w:val="0"/>
                <w:sz w:val="20"/>
              </w:rPr>
              <w:t>Plazo de vigencia del presupuesto y aviso al cliente antes del vencimiento.</w:t>
            </w:r>
          </w:p>
        </w:tc>
        <w:tc>
          <w:tcPr>
            <w:tcW w:type="dxa" w:w="2835"/>
          </w:tcPr>
          <w:p>
            <w:pPr>
              <w:keepNext/>
            </w:pPr>
            <w:r>
              <w:rPr>
                <w:sz w:val="20"/>
              </w:rPr>
            </w:r>
            <w:r>
              <w:rPr>
                <w:b w:val="0"/>
                <w:sz w:val="20"/>
              </w:rPr>
              <w:t>Comercialización · Adm. y Finanzas</w:t>
            </w:r>
          </w:p>
        </w:tc>
      </w:tr>
      <w:tr>
        <w:tc>
          <w:tcPr>
            <w:tcW w:type="dxa" w:w="567"/>
          </w:tcPr>
          <w:p>
            <w:pPr>
              <w:keepNext/>
            </w:pPr>
            <w:r>
              <w:rPr>
                <w:sz w:val="20"/>
              </w:rPr>
            </w:r>
            <w:r>
              <w:rPr>
                <w:b w:val="0"/>
                <w:sz w:val="20"/>
              </w:rPr>
              <w:t>5</w:t>
            </w:r>
          </w:p>
        </w:tc>
        <w:tc>
          <w:tcPr>
            <w:tcW w:type="dxa" w:w="6009"/>
          </w:tcPr>
          <w:p>
            <w:pPr>
              <w:keepNext/>
            </w:pPr>
            <w:r>
              <w:rPr>
                <w:sz w:val="20"/>
              </w:rPr>
            </w:r>
            <w:r>
              <w:rPr>
                <w:b w:val="0"/>
                <w:sz w:val="20"/>
              </w:rPr>
              <w:t>Criterio para pasar un presupuesto no cobrado a venta perdida.</w:t>
            </w:r>
          </w:p>
        </w:tc>
        <w:tc>
          <w:tcPr>
            <w:tcW w:type="dxa" w:w="2835"/>
          </w:tcPr>
          <w:p>
            <w:pPr>
              <w:keepNext/>
            </w:pPr>
            <w:r>
              <w:rPr>
                <w:sz w:val="20"/>
              </w:rPr>
            </w:r>
            <w:r>
              <w:rPr>
                <w:b w:val="0"/>
                <w:sz w:val="20"/>
              </w:rPr>
              <w:t>Comercialización · Adm. y Finanzas</w:t>
            </w:r>
          </w:p>
        </w:tc>
      </w:tr>
      <w:tr>
        <w:tc>
          <w:tcPr>
            <w:tcW w:type="dxa" w:w="567"/>
          </w:tcPr>
          <w:p>
            <w:r>
              <w:rPr>
                <w:sz w:val="20"/>
              </w:rPr>
            </w:r>
            <w:r>
              <w:rPr>
                <w:b w:val="0"/>
                <w:sz w:val="20"/>
              </w:rPr>
              <w:t>6</w:t>
            </w:r>
          </w:p>
        </w:tc>
        <w:tc>
          <w:tcPr>
            <w:tcW w:type="dxa" w:w="6009"/>
          </w:tcPr>
          <w:p>
            <w:r>
              <w:rPr>
                <w:sz w:val="20"/>
              </w:rPr>
            </w:r>
            <w:r>
              <w:rPr>
                <w:b w:val="0"/>
                <w:sz w:val="20"/>
              </w:rPr>
              <w:t>Uso de GHL para formalizar el traspaso y los mensajes automáticos de seguimiento.</w:t>
            </w:r>
          </w:p>
        </w:tc>
        <w:tc>
          <w:tcPr>
            <w:tcW w:type="dxa" w:w="2835"/>
          </w:tcPr>
          <w:p>
            <w:r>
              <w:rPr>
                <w:sz w:val="20"/>
              </w:rPr>
            </w:r>
            <w:r>
              <w:rPr>
                <w:b w:val="0"/>
                <w:sz w:val="20"/>
              </w:rPr>
              <w:t>Procesos y Mejora Continua</w:t>
            </w:r>
          </w:p>
        </w:tc>
      </w:tr>
    </w:tbl>
    <w:p>
      <w:pPr>
        <w:spacing w:after="40"/>
      </w:pPr>
    </w:p>
    <w:p>
      <w:pPr>
        <w:keepNext/>
        <w:spacing w:before="240" w:after="80"/>
        <w:pBdr>
          <w:left w:val="single" w:sz="18" w:space="8" w:color="3B5B8C"/>
        </w:pBdr>
      </w:pPr>
      <w:r>
        <w:rPr>
          <w:b/>
          <w:color w:val="1F2A44"/>
          <w:sz w:val="26"/>
        </w:rPr>
        <w:t>Próximos pasos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59"/>
        <w:gridCol w:w="2835"/>
        <w:gridCol w:w="1417"/>
      </w:tblGrid>
      <w:tr>
        <w:trPr>
          <w:tblHeader w:val="true"/>
        </w:trPr>
        <w:tc>
          <w:tcPr>
            <w:tcW w:type="dxa" w:w="5159"/>
            <w:shd w:val="clear" w:color="auto" w:fill="1F2A44"/>
          </w:tcPr>
          <w:p>
            <w:pPr>
              <w:keepNext/>
            </w:pPr>
            <w:r/>
            <w:r>
              <w:rPr>
                <w:b/>
                <w:color w:val="FFFFFF"/>
                <w:sz w:val="20"/>
              </w:rPr>
              <w:t>Acción</w:t>
            </w:r>
          </w:p>
        </w:tc>
        <w:tc>
          <w:tcPr>
            <w:tcW w:type="dxa" w:w="2835"/>
            <w:shd w:val="clear" w:color="auto" w:fill="1F2A44"/>
          </w:tcPr>
          <w:p>
            <w:pPr>
              <w:keepNext/>
            </w:pPr>
            <w:r/>
            <w:r>
              <w:rPr>
                <w:b/>
                <w:color w:val="FFFFFF"/>
                <w:sz w:val="20"/>
              </w:rPr>
              <w:t>Responsable</w:t>
            </w:r>
          </w:p>
        </w:tc>
        <w:tc>
          <w:tcPr>
            <w:tcW w:type="dxa" w:w="1417"/>
            <w:shd w:val="clear" w:color="auto" w:fill="1F2A44"/>
          </w:tcPr>
          <w:p>
            <w:pPr>
              <w:keepNext/>
            </w:pPr>
            <w:r/>
            <w:r>
              <w:rPr>
                <w:b/>
                <w:color w:val="FFFFFF"/>
                <w:sz w:val="20"/>
              </w:rPr>
              <w:t>Fecha</w:t>
            </w:r>
          </w:p>
        </w:tc>
      </w:tr>
      <w:tr>
        <w:tc>
          <w:tcPr>
            <w:tcW w:type="dxa" w:w="5159"/>
          </w:tcPr>
          <w:p>
            <w:pPr>
              <w:keepNext/>
            </w:pPr>
            <w:r>
              <w:rPr>
                <w:sz w:val="20"/>
              </w:rPr>
            </w:r>
            <w:r>
              <w:rPr>
                <w:b w:val="0"/>
                <w:sz w:val="20"/>
              </w:rPr>
              <w:t>Modelar el subproceso en BPMN (borrador v0.1) y circular propuesta para los puntos a definir.</w:t>
            </w:r>
          </w:p>
        </w:tc>
        <w:tc>
          <w:tcPr>
            <w:tcW w:type="dxa" w:w="2835"/>
          </w:tcPr>
          <w:p>
            <w:pPr>
              <w:keepNext/>
            </w:pPr>
            <w:r>
              <w:rPr>
                <w:sz w:val="20"/>
              </w:rPr>
            </w:r>
            <w:r>
              <w:rPr>
                <w:b w:val="0"/>
                <w:sz w:val="20"/>
              </w:rPr>
              <w:t>Procesos y Mejora Continua</w:t>
            </w:r>
          </w:p>
        </w:tc>
        <w:tc>
          <w:tcPr>
            <w:tcW w:type="dxa" w:w="1417"/>
          </w:tcPr>
          <w:p>
            <w:pPr>
              <w:keepNext/>
            </w:pPr>
            <w:r>
              <w:rPr>
                <w:sz w:val="20"/>
              </w:rPr>
            </w:r>
            <w:r>
              <w:rPr>
                <w:b w:val="0"/>
                <w:sz w:val="20"/>
              </w:rPr>
              <w:t>A definir</w:t>
            </w:r>
          </w:p>
        </w:tc>
      </w:tr>
      <w:tr>
        <w:tc>
          <w:tcPr>
            <w:tcW w:type="dxa" w:w="5159"/>
          </w:tcPr>
          <w:p>
            <w:pPr>
              <w:keepNext/>
            </w:pPr>
            <w:r>
              <w:rPr>
                <w:sz w:val="20"/>
              </w:rPr>
            </w:r>
            <w:r>
              <w:rPr>
                <w:b w:val="0"/>
                <w:sz w:val="20"/>
              </w:rPr>
              <w:t>Validar los datos mínimos del traspaso (punto 1).</w:t>
            </w:r>
          </w:p>
        </w:tc>
        <w:tc>
          <w:tcPr>
            <w:tcW w:type="dxa" w:w="2835"/>
          </w:tcPr>
          <w:p>
            <w:pPr>
              <w:keepNext/>
            </w:pPr>
            <w:r>
              <w:rPr>
                <w:sz w:val="20"/>
              </w:rPr>
            </w:r>
            <w:r>
              <w:rPr>
                <w:b w:val="0"/>
                <w:sz w:val="20"/>
              </w:rPr>
              <w:t>Ventas · Atención al Cliente</w:t>
            </w:r>
          </w:p>
        </w:tc>
        <w:tc>
          <w:tcPr>
            <w:tcW w:type="dxa" w:w="1417"/>
          </w:tcPr>
          <w:p>
            <w:pPr>
              <w:keepNext/>
            </w:pPr>
            <w:r>
              <w:rPr>
                <w:sz w:val="20"/>
              </w:rPr>
            </w:r>
            <w:r>
              <w:rPr>
                <w:b w:val="0"/>
                <w:sz w:val="20"/>
              </w:rPr>
              <w:t>A definir</w:t>
            </w:r>
          </w:p>
        </w:tc>
      </w:tr>
      <w:tr>
        <w:tc>
          <w:tcPr>
            <w:tcW w:type="dxa" w:w="5159"/>
          </w:tcPr>
          <w:p>
            <w:r>
              <w:rPr>
                <w:sz w:val="20"/>
              </w:rPr>
            </w:r>
            <w:r>
              <w:rPr>
                <w:b w:val="0"/>
                <w:sz w:val="20"/>
              </w:rPr>
              <w:t>Coordinar la próxima reunión del ciclo (R3).</w:t>
            </w:r>
          </w:p>
        </w:tc>
        <w:tc>
          <w:tcPr>
            <w:tcW w:type="dxa" w:w="2835"/>
          </w:tcPr>
          <w:p>
            <w:r>
              <w:rPr>
                <w:sz w:val="20"/>
              </w:rPr>
            </w:r>
            <w:r>
              <w:rPr>
                <w:b w:val="0"/>
                <w:sz w:val="20"/>
              </w:rPr>
              <w:t>Procesos y Mejora Continua</w:t>
            </w:r>
          </w:p>
        </w:tc>
        <w:tc>
          <w:tcPr>
            <w:tcW w:type="dxa" w:w="1417"/>
          </w:tcPr>
          <w:p>
            <w:r>
              <w:rPr>
                <w:sz w:val="20"/>
              </w:rPr>
            </w:r>
            <w:r>
              <w:rPr>
                <w:b w:val="0"/>
                <w:sz w:val="20"/>
              </w:rPr>
              <w:t>A definir</w:t>
            </w:r>
          </w:p>
        </w:tc>
      </w:tr>
    </w:tbl>
    <w:p>
      <w:pPr>
        <w:spacing w:after="40"/>
      </w:pPr>
    </w:p>
    <w:p>
      <w:r>
        <w:rPr>
          <w:b w:val="0"/>
          <w:i/>
          <w:color w:val="595959"/>
          <w:sz w:val="18"/>
        </w:rPr>
        <w:t>Próximos pasos propuestos por Procesos y Mejora Continua; responsables y fechas a confirmar al circular la minuta.</w:t>
      </w:r>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95959"/>
        <w:sz w:val="16"/>
      </w:rPr>
      <w:t>SP Seguridad Privada · Procesos y Mejora Continua · R2 · v0.1 (borrador para validar)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