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SP Hogar Seguro — Venta</w:t>
      </w:r>
    </w:p>
    <w:p>
      <w:pPr>
        <w:spacing w:after="240"/>
      </w:pPr>
      <w:r>
        <w:rPr>
          <w:color w:val="595959"/>
        </w:rPr>
        <w:t xml:space="preserve">Mapa de Servicios — Segmento Hogar · Ficha de Producto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val="clear"/>
            <w:tcMar>
              <w:top w:type="dxa" w:w="100"/>
              <w:left w:type="dxa" w:w="120"/>
              <w:bottom w:type="dxa" w:w="100"/>
              <w:right w:type="dxa" w:w="120"/>
            </w:tcMar>
          </w:tcPr>
          <w:p>
            <w:r>
              <w:rPr>
                <w:b/>
                <w:bCs/>
                <w:color w:val="FFFFFF"/>
              </w:rPr>
              <w:t xml:space="preserve">Campo</w:t>
            </w:r>
          </w:p>
        </w:tc>
        <w:tc>
          <w:tcPr>
            <w:tcW w:type="dxa" w:w="6700"/>
            <w:shd w:fill="1F3864" w:val="clear"/>
            <w:tcMar>
              <w:top w:type="dxa" w:w="100"/>
              <w:left w:type="dxa" w:w="120"/>
              <w:bottom w:type="dxa" w:w="100"/>
              <w:right w:type="dxa" w:w="120"/>
            </w:tcMar>
          </w:tcPr>
          <w:p>
            <w:r>
              <w:rPr>
                <w:b/>
                <w:bCs/>
                <w:color w:val="FFFFFF"/>
              </w:rPr>
              <w:t xml:space="preserve">Detalle</w:t>
            </w:r>
          </w:p>
        </w:tc>
      </w:tr>
      <w:tr>
        <w:tc>
          <w:tcPr>
            <w:tcW w:type="dxa" w:w="2800"/>
            <w:tcMar>
              <w:top w:type="dxa" w:w="100"/>
              <w:left w:type="dxa" w:w="120"/>
              <w:bottom w:type="dxa" w:w="100"/>
              <w:right w:type="dxa" w:w="120"/>
            </w:tcMar>
          </w:tcPr>
          <w:p>
            <w:r>
              <w:rPr>
                <w:b/>
                <w:bCs/>
              </w:rPr>
              <w:t xml:space="preserve">Producto</w:t>
            </w:r>
          </w:p>
        </w:tc>
        <w:tc>
          <w:tcPr>
            <w:tcW w:type="dxa" w:w="6700"/>
            <w:tcMar>
              <w:top w:type="dxa" w:w="100"/>
              <w:left w:type="dxa" w:w="120"/>
              <w:bottom w:type="dxa" w:w="100"/>
              <w:right w:type="dxa" w:w="120"/>
            </w:tcMar>
          </w:tcPr>
          <w:p>
            <w:r>
              <w:rPr>
                <w:b w:val="false"/>
                <w:bCs w:val="false"/>
              </w:rPr>
              <w:t xml:space="preserve">SP Hogar Seguro — Venta</w:t>
            </w:r>
          </w:p>
        </w:tc>
      </w:tr>
      <w:tr>
        <w:tc>
          <w:tcPr>
            <w:tcW w:type="dxa" w:w="2800"/>
            <w:tcMar>
              <w:top w:type="dxa" w:w="100"/>
              <w:left w:type="dxa" w:w="120"/>
              <w:bottom w:type="dxa" w:w="100"/>
              <w:right w:type="dxa" w:w="120"/>
            </w:tcMar>
          </w:tcPr>
          <w:p>
            <w:r>
              <w:rPr>
                <w:b/>
                <w:bCs/>
              </w:rPr>
              <w:t xml:space="preserve">Líder de Producto</w:t>
            </w:r>
          </w:p>
        </w:tc>
        <w:tc>
          <w:tcPr>
            <w:tcW w:type="dxa" w:w="6700"/>
            <w:tcMar>
              <w:top w:type="dxa" w:w="100"/>
              <w:left w:type="dxa" w:w="120"/>
              <w:bottom w:type="dxa" w:w="100"/>
              <w:right w:type="dxa" w:w="120"/>
            </w:tcMar>
          </w:tcPr>
          <w:p>
            <w:r>
              <w:rPr>
                <w:b w:val="false"/>
                <w:bCs w:val="false"/>
              </w:rPr>
              <w:t xml:space="preserve">[A completar]</w:t>
            </w:r>
          </w:p>
        </w:tc>
      </w:tr>
      <w:tr>
        <w:tc>
          <w:tcPr>
            <w:tcW w:type="dxa" w:w="2800"/>
            <w:tcMar>
              <w:top w:type="dxa" w:w="100"/>
              <w:left w:type="dxa" w:w="120"/>
              <w:bottom w:type="dxa" w:w="100"/>
              <w:right w:type="dxa" w:w="120"/>
            </w:tcMar>
          </w:tcPr>
          <w:p>
            <w:r>
              <w:rPr>
                <w:b/>
                <w:bCs/>
              </w:rPr>
              <w:t xml:space="preserve">Versión</w:t>
            </w:r>
          </w:p>
        </w:tc>
        <w:tc>
          <w:tcPr>
            <w:tcW w:type="dxa" w:w="6700"/>
            <w:tcMar>
              <w:top w:type="dxa" w:w="100"/>
              <w:left w:type="dxa" w:w="120"/>
              <w:bottom w:type="dxa" w:w="100"/>
              <w:right w:type="dxa" w:w="120"/>
            </w:tcMar>
          </w:tcPr>
          <w:p>
            <w:r>
              <w:rPr>
                <w:b w:val="false"/>
                <w:bCs w:val="false"/>
              </w:rPr>
              <w:t xml:space="preserve">0.7 (V1.0 — Borrador)</w:t>
            </w:r>
          </w:p>
        </w:tc>
      </w:tr>
      <w:tr>
        <w:tc>
          <w:tcPr>
            <w:tcW w:type="dxa" w:w="2800"/>
            <w:tcMar>
              <w:top w:type="dxa" w:w="100"/>
              <w:left w:type="dxa" w:w="120"/>
              <w:bottom w:type="dxa" w:w="100"/>
              <w:right w:type="dxa" w:w="120"/>
            </w:tcMar>
          </w:tcPr>
          <w:p>
            <w:r>
              <w:rPr>
                <w:b/>
                <w:bCs/>
              </w:rPr>
              <w:t xml:space="preserve">Fecha</w:t>
            </w:r>
          </w:p>
        </w:tc>
        <w:tc>
          <w:tcPr>
            <w:tcW w:type="dxa" w:w="6700"/>
            <w:tcMar>
              <w:top w:type="dxa" w:w="100"/>
              <w:left w:type="dxa" w:w="120"/>
              <w:bottom w:type="dxa" w:w="100"/>
              <w:right w:type="dxa" w:w="120"/>
            </w:tcMar>
          </w:tcPr>
          <w:p>
            <w:r>
              <w:rPr>
                <w:b w:val="false"/>
                <w:bCs w:val="false"/>
              </w:rPr>
              <w:t xml:space="preserve">25/08/2026</w:t>
            </w:r>
          </w:p>
        </w:tc>
      </w:tr>
      <w:tr>
        <w:tc>
          <w:tcPr>
            <w:tcW w:type="dxa" w:w="2800"/>
            <w:tcMar>
              <w:top w:type="dxa" w:w="100"/>
              <w:left w:type="dxa" w:w="120"/>
              <w:bottom w:type="dxa" w:w="100"/>
              <w:right w:type="dxa" w:w="120"/>
            </w:tcMar>
          </w:tcPr>
          <w:p>
            <w:r>
              <w:rPr>
                <w:b/>
                <w:bCs/>
              </w:rPr>
              <w:t xml:space="preserve">Autor</w:t>
            </w:r>
          </w:p>
        </w:tc>
        <w:tc>
          <w:tcPr>
            <w:tcW w:type="dxa" w:w="6700"/>
            <w:tcMar>
              <w:top w:type="dxa" w:w="100"/>
              <w:left w:type="dxa" w:w="120"/>
              <w:bottom w:type="dxa" w:w="100"/>
              <w:right w:type="dxa" w:w="120"/>
            </w:tcMar>
          </w:tcPr>
          <w:p>
            <w:r>
              <w:rPr>
                <w:b w:val="false"/>
                <w:bCs w:val="false"/>
              </w:rPr>
              <w:t xml:space="preserve">Borrador (scripts 549/200/452/560/865 + Datos_elementos.csv + Informe_Mapa_Servicios_vs_Operacion.docx + spseguridad.com.ar/hogares) — pend. revisión comercial/instalaciones/precios</w:t>
            </w:r>
          </w:p>
        </w:tc>
      </w:tr>
    </w:tbl>
    <w:p>
      <w:pPr>
        <w:spacing w:after="200"/>
      </w:pPr>
    </w:p>
    <w:p>
      <w:pPr>
        <w:spacing w:after="160"/>
      </w:pPr>
      <w:r>
        <w:rPr>
          <w:i/>
          <w:iCs/>
          <w:color w:val="595959"/>
        </w:rPr>
        <w:t xml:space="preserve">Este documento refleja tal cual el contenido vigente en Supabase (tabla ficha_versiones, ficha_id='hogar-venta', version_key='v1.0') al 25/08/2026, cargado por supabase/actualizar_hogar_venta_v7.sql. Es un BORRADOR: los campos marcados "[A completar]" siguen pendientes de carga por las áreas correspondientes — se pueden completar directamente en el editor de fichas del portal sin re-correr ningún script.</w:t>
      </w:r>
    </w:p>
    <w:p>
      <w:r>
        <w:br w:type="page"/>
      </w:r>
    </w:p>
    <w:p>
      <w:pPr>
        <w:pStyle w:val="Heading1"/>
        <w:spacing w:after="160" w:before="320"/>
      </w:pPr>
      <w:r>
        <w:t xml:space="preserve">Índice</w:t>
      </w:r>
    </w:p>
    <w:p>
      <w:pPr>
        <w:pStyle w:val="ListParagraph"/>
        <w:numPr>
          <w:ilvl w:val="0"/>
          <w:numId w:val="2"/>
        </w:numPr>
        <w:spacing w:after="80"/>
      </w:pPr>
      <w:r>
        <w:t xml:space="preserve">Descripción general</w:t>
      </w:r>
    </w:p>
    <w:p>
      <w:pPr>
        <w:pStyle w:val="ListParagraph"/>
        <w:numPr>
          <w:ilvl w:val="0"/>
          <w:numId w:val="2"/>
        </w:numPr>
        <w:spacing w:after="80"/>
      </w:pPr>
      <w:r>
        <w:t xml:space="preserve">Checklist de lanzamiento</w:t>
      </w:r>
    </w:p>
    <w:p>
      <w:pPr>
        <w:pStyle w:val="ListParagraph"/>
        <w:numPr>
          <w:ilvl w:val="0"/>
          <w:numId w:val="2"/>
        </w:numPr>
        <w:spacing w:after="80"/>
      </w:pPr>
      <w:r>
        <w:t xml:space="preserve">Información y aprobación de las áreas</w:t>
      </w:r>
    </w:p>
    <w:p>
      <w:pPr>
        <w:pStyle w:val="ListParagraph"/>
        <w:numPr>
          <w:ilvl w:val="0"/>
          <w:numId w:val="2"/>
        </w:numPr>
        <w:spacing w:after="80"/>
      </w:pPr>
      <w:r>
        <w:t xml:space="preserve">Identificación del servicio</w:t>
      </w:r>
    </w:p>
    <w:p>
      <w:pPr>
        <w:pStyle w:val="ListParagraph"/>
        <w:numPr>
          <w:ilvl w:val="0"/>
          <w:numId w:val="2"/>
        </w:numPr>
        <w:spacing w:after="80"/>
      </w:pPr>
      <w:r>
        <w:t xml:space="preserve">Terminología</w:t>
      </w:r>
    </w:p>
    <w:p>
      <w:pPr>
        <w:pStyle w:val="ListParagraph"/>
        <w:numPr>
          <w:ilvl w:val="0"/>
          <w:numId w:val="2"/>
        </w:numPr>
        <w:spacing w:after="80"/>
      </w:pPr>
      <w:r>
        <w:t xml:space="preserve">Propuesta de valor</w:t>
      </w:r>
    </w:p>
    <w:p>
      <w:pPr>
        <w:pStyle w:val="ListParagraph"/>
        <w:numPr>
          <w:ilvl w:val="0"/>
          <w:numId w:val="2"/>
        </w:numPr>
        <w:spacing w:after="80"/>
      </w:pPr>
      <w:r>
        <w:t xml:space="preserve">Objeciones frecuentes anticipadas</w:t>
      </w:r>
    </w:p>
    <w:p>
      <w:pPr>
        <w:pStyle w:val="ListParagraph"/>
        <w:numPr>
          <w:ilvl w:val="0"/>
          <w:numId w:val="2"/>
        </w:numPr>
        <w:spacing w:after="80"/>
      </w:pPr>
      <w:r>
        <w:t xml:space="preserve">Condiciones comerciales</w:t>
      </w:r>
    </w:p>
    <w:p>
      <w:pPr>
        <w:pStyle w:val="ListParagraph"/>
        <w:numPr>
          <w:ilvl w:val="0"/>
          <w:numId w:val="2"/>
        </w:numPr>
        <w:spacing w:after="80"/>
      </w:pPr>
      <w:r>
        <w:t xml:space="preserve">Comparación con la competencia</w:t>
      </w:r>
    </w:p>
    <w:p>
      <w:pPr>
        <w:pStyle w:val="ListParagraph"/>
        <w:numPr>
          <w:ilvl w:val="0"/>
          <w:numId w:val="2"/>
        </w:numPr>
        <w:spacing w:after="80"/>
      </w:pPr>
      <w:r>
        <w:t xml:space="preserve">Requerimientos para el cliente</w:t>
      </w:r>
    </w:p>
    <w:p>
      <w:pPr>
        <w:pStyle w:val="ListParagraph"/>
        <w:numPr>
          <w:ilvl w:val="0"/>
          <w:numId w:val="2"/>
        </w:numPr>
        <w:spacing w:after="80"/>
      </w:pPr>
      <w:r>
        <w:t xml:space="preserve">Material de marketing</w:t>
      </w:r>
    </w:p>
    <w:p>
      <w:pPr>
        <w:pStyle w:val="ListParagraph"/>
        <w:numPr>
          <w:ilvl w:val="0"/>
          <w:numId w:val="2"/>
        </w:numPr>
        <w:spacing w:after="80"/>
      </w:pPr>
      <w:r>
        <w:t xml:space="preserve">Cómo se entrega el servicio</w:t>
      </w:r>
    </w:p>
    <w:p>
      <w:pPr>
        <w:pStyle w:val="ListParagraph"/>
        <w:numPr>
          <w:ilvl w:val="0"/>
          <w:numId w:val="2"/>
        </w:numPr>
        <w:spacing w:after="80"/>
      </w:pPr>
      <w:r>
        <w:t xml:space="preserve">Componentes del equipo</w:t>
      </w:r>
    </w:p>
    <w:p>
      <w:pPr>
        <w:pStyle w:val="ListParagraph"/>
        <w:numPr>
          <w:ilvl w:val="0"/>
          <w:numId w:val="2"/>
        </w:numPr>
        <w:spacing w:after="80"/>
      </w:pPr>
      <w:r>
        <w:t xml:space="preserve">Procesos y áreas involucradas</w:t>
      </w:r>
    </w:p>
    <w:p>
      <w:pPr>
        <w:pStyle w:val="ListParagraph"/>
        <w:numPr>
          <w:ilvl w:val="0"/>
          <w:numId w:val="2"/>
        </w:numPr>
        <w:spacing w:after="80"/>
      </w:pPr>
      <w:r>
        <w:t xml:space="preserve">Contrato</w:t>
      </w:r>
    </w:p>
    <w:p>
      <w:pPr>
        <w:pStyle w:val="ListParagraph"/>
        <w:numPr>
          <w:ilvl w:val="0"/>
          <w:numId w:val="2"/>
        </w:numPr>
        <w:spacing w:after="80"/>
      </w:pPr>
      <w:r>
        <w:t xml:space="preserve">Validación de Servicio Técnico</w:t>
      </w:r>
    </w:p>
    <w:p>
      <w:pPr>
        <w:pStyle w:val="ListParagraph"/>
        <w:numPr>
          <w:ilvl w:val="0"/>
          <w:numId w:val="2"/>
        </w:numPr>
        <w:spacing w:after="80"/>
      </w:pPr>
      <w:r>
        <w:t xml:space="preserve">Pendientes para cerrar la ficha</w:t>
      </w:r>
    </w:p>
    <w:p>
      <w:r>
        <w:br w:type="page"/>
      </w:r>
    </w:p>
    <w:p>
      <w:pPr>
        <w:pStyle w:val="Heading1"/>
        <w:spacing w:after="160" w:before="320"/>
      </w:pPr>
      <w:r>
        <w:t xml:space="preserve">Descripción general</w:t>
      </w:r>
    </w:p>
    <w:p>
      <w:pPr>
        <w:spacing w:after="160"/>
      </w:pPr>
      <w:r>
        <w:t xml:space="preserve">Sistema de alarma monitoreada para el hogar, con control total desde la app y respuesta de un centro de monitoreo 24/7. Protege la vivienda en tres capas: detección de movimiento en el interior, sensores en puertas y ventanas, y cobertura del perímetro exterior. Incluye instalación, notificaciones inmediatas ante cualquier evento, botón de pánico silencioso y Móvil de Acuda. Se vende en forma directa: el cliente es propietario del equipo desde la instalación, a diferencia de SP Comercio Seguro, que se ofrece en comodato.</w:t>
      </w:r>
    </w:p>
    <w:p>
      <w:pPr>
        <w:pStyle w:val="Heading1"/>
        <w:spacing w:after="160" w:before="320"/>
      </w:pPr>
      <w:r>
        <w:t xml:space="preserve">Checklist de lanzamiento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900"/>
      </w:tblGrid>
      <w:tr>
        <w:trPr>
          <w:tblHeader/>
        </w:trPr>
        <w:tc>
          <w:tcPr>
            <w:tcW w:type="dxa" w:w="3400"/>
            <w:shd w:fill="1F3864" w:val="clear"/>
            <w:tcMar>
              <w:top w:type="dxa" w:w="100"/>
              <w:left w:type="dxa" w:w="120"/>
              <w:bottom w:type="dxa" w:w="100"/>
              <w:right w:type="dxa" w:w="120"/>
            </w:tcMar>
          </w:tcPr>
          <w:p>
            <w:r>
              <w:rPr>
                <w:b/>
                <w:bCs/>
                <w:color w:val="FFFFFF"/>
              </w:rPr>
              <w:t xml:space="preserve">Ítem</w:t>
            </w:r>
          </w:p>
        </w:tc>
        <w:tc>
          <w:tcPr>
            <w:tcW w:type="dxa" w:w="2200"/>
            <w:shd w:fill="1F3864" w:val="clear"/>
            <w:tcMar>
              <w:top w:type="dxa" w:w="100"/>
              <w:left w:type="dxa" w:w="120"/>
              <w:bottom w:type="dxa" w:w="100"/>
              <w:right w:type="dxa" w:w="120"/>
            </w:tcMar>
          </w:tcPr>
          <w:p>
            <w:r>
              <w:rPr>
                <w:b/>
                <w:bCs/>
                <w:color w:val="FFFFFF"/>
              </w:rPr>
              <w:t xml:space="preserve">Estado</w:t>
            </w:r>
          </w:p>
        </w:tc>
        <w:tc>
          <w:tcPr>
            <w:tcW w:type="dxa" w:w="3900"/>
            <w:shd w:fill="1F3864" w:val="clear"/>
            <w:tcMar>
              <w:top w:type="dxa" w:w="100"/>
              <w:left w:type="dxa" w:w="120"/>
              <w:bottom w:type="dxa" w:w="100"/>
              <w:right w:type="dxa" w:w="120"/>
            </w:tcMar>
          </w:tcPr>
          <w:p>
            <w:r>
              <w:rPr>
                <w:b/>
                <w:bCs/>
                <w:color w:val="FFFFFF"/>
              </w:rPr>
              <w:t xml:space="preserve">Comentarios</w:t>
            </w:r>
          </w:p>
        </w:tc>
      </w:tr>
      <w:tr>
        <w:tc>
          <w:tcPr>
            <w:tcW w:type="dxa" w:w="3400"/>
            <w:tcMar>
              <w:top w:type="dxa" w:w="100"/>
              <w:left w:type="dxa" w:w="120"/>
              <w:bottom w:type="dxa" w:w="100"/>
              <w:right w:type="dxa" w:w="120"/>
            </w:tcMar>
          </w:tcPr>
          <w:p>
            <w:r>
              <w:rPr>
                <w:b/>
                <w:bCs/>
              </w:rPr>
              <w:t xml:space="preserve">Nombre</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Alcance detallado</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Preguntas Frecuentes</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Contrato</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Artículo en Netsuite</w:t>
            </w:r>
          </w:p>
        </w:tc>
        <w:tc>
          <w:tcPr>
            <w:tcW w:type="dxa" w:w="2200"/>
            <w:tcMar>
              <w:top w:type="dxa" w:w="100"/>
              <w:left w:type="dxa" w:w="120"/>
              <w:bottom w:type="dxa" w:w="100"/>
              <w:right w:type="dxa" w:w="120"/>
            </w:tcMar>
          </w:tcPr>
          <w:p>
            <w:r>
              <w:rPr>
                <w:b w:val="false"/>
                <w:bCs w:val="false"/>
              </w:rPr>
              <w:t xml:space="preserve">En progreso</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Material Marketing</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Proceso Ventas</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Proceso Instaladores</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Proceso Operadores</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r>
        <w:tc>
          <w:tcPr>
            <w:tcW w:type="dxa" w:w="3400"/>
            <w:tcMar>
              <w:top w:type="dxa" w:w="100"/>
              <w:left w:type="dxa" w:w="120"/>
              <w:bottom w:type="dxa" w:w="100"/>
              <w:right w:type="dxa" w:w="120"/>
            </w:tcMar>
          </w:tcPr>
          <w:p>
            <w:r>
              <w:rPr>
                <w:b/>
                <w:bCs/>
              </w:rPr>
              <w:t xml:space="preserve">Proceso Serv. Técnico</w:t>
            </w:r>
          </w:p>
        </w:tc>
        <w:tc>
          <w:tcPr>
            <w:tcW w:type="dxa" w:w="2200"/>
            <w:tcMar>
              <w:top w:type="dxa" w:w="100"/>
              <w:left w:type="dxa" w:w="120"/>
              <w:bottom w:type="dxa" w:w="100"/>
              <w:right w:type="dxa" w:w="120"/>
            </w:tcMar>
          </w:tcPr>
          <w:p>
            <w:r>
              <w:rPr>
                <w:b w:val="false"/>
                <w:bCs w:val="false"/>
              </w:rPr>
              <w:t xml:space="preserve">En revisión</w:t>
            </w:r>
          </w:p>
        </w:tc>
        <w:tc>
          <w:tcPr>
            <w:tcW w:type="dxa" w:w="3900"/>
            <w:tcMar>
              <w:top w:type="dxa" w:w="100"/>
              <w:left w:type="dxa" w:w="120"/>
              <w:bottom w:type="dxa" w:w="100"/>
              <w:right w:type="dxa" w:w="120"/>
            </w:tcMar>
          </w:tcPr>
          <w:p>
            <w:r>
              <w:rPr>
                <w:b w:val="false"/>
                <w:bCs w:val="false"/>
              </w:rPr>
              <w:t xml:space="preserve">—</w:t>
            </w:r>
          </w:p>
        </w:tc>
      </w:tr>
    </w:tbl>
    <w:p>
      <w:pPr>
        <w:spacing w:after="160"/>
      </w:pPr>
      <w:r>
        <w:rPr>
          <w:i/>
          <w:iCs/>
          <w:color w:val="595959"/>
        </w:rPr>
        <w:t xml:space="preserve">Estados tal como figuran en el campo "checklist" de la ficha en Supabase (rev → En revisión, prog → En progreso).</w:t>
      </w:r>
    </w:p>
    <w:p>
      <w:pPr>
        <w:pStyle w:val="Heading1"/>
        <w:spacing w:after="160" w:before="320"/>
      </w:pPr>
      <w:r>
        <w:t xml:space="preserve">Información y aprobación de las áreas</w:t>
      </w:r>
    </w:p>
    <w:p>
      <w:pPr>
        <w:spacing w:after="160"/>
      </w:pPr>
      <w:r>
        <w:t xml:space="preserve">Cada área revisa lo que le corresponde y completa su fila cuando esté conforme.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gridCol w:w="1800"/>
      </w:tblGrid>
      <w:tr>
        <w:trPr>
          <w:tblHeader/>
        </w:trPr>
        <w:tc>
          <w:tcPr>
            <w:tcW w:type="dxa" w:w="2400"/>
            <w:shd w:fill="1F3864" w:val="clear"/>
            <w:tcMar>
              <w:top w:type="dxa" w:w="100"/>
              <w:left w:type="dxa" w:w="120"/>
              <w:bottom w:type="dxa" w:w="100"/>
              <w:right w:type="dxa" w:w="120"/>
            </w:tcMar>
          </w:tcPr>
          <w:p>
            <w:r>
              <w:rPr>
                <w:b/>
                <w:bCs/>
                <w:color w:val="FFFFFF"/>
              </w:rPr>
              <w:t xml:space="preserve">Área</w:t>
            </w:r>
          </w:p>
        </w:tc>
        <w:tc>
          <w:tcPr>
            <w:tcW w:type="dxa" w:w="2400"/>
            <w:shd w:fill="1F3864" w:val="clear"/>
            <w:tcMar>
              <w:top w:type="dxa" w:w="100"/>
              <w:left w:type="dxa" w:w="120"/>
              <w:bottom w:type="dxa" w:w="100"/>
              <w:right w:type="dxa" w:w="120"/>
            </w:tcMar>
          </w:tcPr>
          <w:p>
            <w:r>
              <w:rPr>
                <w:b/>
                <w:bCs/>
                <w:color w:val="FFFFFF"/>
              </w:rPr>
              <w:t xml:space="preserve">Responsable</w:t>
            </w:r>
          </w:p>
        </w:tc>
        <w:tc>
          <w:tcPr>
            <w:tcW w:type="dxa" w:w="2900"/>
            <w:shd w:fill="1F3864" w:val="clear"/>
            <w:tcMar>
              <w:top w:type="dxa" w:w="100"/>
              <w:left w:type="dxa" w:w="120"/>
              <w:bottom w:type="dxa" w:w="100"/>
              <w:right w:type="dxa" w:w="120"/>
            </w:tcMar>
          </w:tcPr>
          <w:p>
            <w:r>
              <w:rPr>
                <w:b/>
                <w:bCs/>
                <w:color w:val="FFFFFF"/>
              </w:rPr>
              <w:t xml:space="preserve">Comentarios</w:t>
            </w:r>
          </w:p>
        </w:tc>
        <w:tc>
          <w:tcPr>
            <w:tcW w:type="dxa" w:w="1800"/>
            <w:shd w:fill="1F3864" w:val="clear"/>
            <w:tcMar>
              <w:top w:type="dxa" w:w="100"/>
              <w:left w:type="dxa" w:w="120"/>
              <w:bottom w:type="dxa" w:w="100"/>
              <w:right w:type="dxa" w:w="120"/>
            </w:tcMar>
          </w:tcPr>
          <w:p>
            <w:r>
              <w:rPr>
                <w:b/>
                <w:bCs/>
                <w:color w:val="FFFFFF"/>
              </w:rPr>
              <w:t xml:space="preserve">Fecha OK</w:t>
            </w:r>
          </w:p>
        </w:tc>
      </w:tr>
      <w:tr>
        <w:tc>
          <w:tcPr>
            <w:tcW w:type="dxa" w:w="2400"/>
            <w:tcMar>
              <w:top w:type="dxa" w:w="100"/>
              <w:left w:type="dxa" w:w="120"/>
              <w:bottom w:type="dxa" w:w="100"/>
              <w:right w:type="dxa" w:w="120"/>
            </w:tcMar>
          </w:tcPr>
          <w:p>
            <w:r>
              <w:rPr>
                <w:b/>
                <w:bCs/>
              </w:rPr>
              <w:t xml:space="preserve">Ventas y Mktg</w:t>
            </w:r>
          </w:p>
        </w:tc>
        <w:tc>
          <w:tcPr>
            <w:tcW w:type="dxa" w:w="2400"/>
            <w:tcMar>
              <w:top w:type="dxa" w:w="100"/>
              <w:left w:type="dxa" w:w="120"/>
              <w:bottom w:type="dxa" w:w="100"/>
              <w:right w:type="dxa" w:w="120"/>
            </w:tcMar>
          </w:tcPr>
          <w:p>
            <w:r>
              <w:rPr>
                <w:b w:val="false"/>
                <w:bCs w:val="false"/>
              </w:rPr>
              <w:t xml:space="preserve">—</w:t>
            </w:r>
          </w:p>
        </w:tc>
        <w:tc>
          <w:tcPr>
            <w:tcW w:type="dxa" w:w="2900"/>
            <w:tcMar>
              <w:top w:type="dxa" w:w="100"/>
              <w:left w:type="dxa" w:w="120"/>
              <w:bottom w:type="dxa" w:w="100"/>
              <w:right w:type="dxa" w:w="120"/>
            </w:tcMar>
          </w:tcPr>
          <w:p>
            <w:r>
              <w:rPr>
                <w:b w:val="false"/>
                <w:bCs w:val="false"/>
              </w:rPr>
              <w:t xml:space="preserve">— (en revisión)</w:t>
            </w:r>
          </w:p>
        </w:tc>
        <w:tc>
          <w:tcPr>
            <w:tcW w:type="dxa" w:w="1800"/>
            <w:tcMar>
              <w:top w:type="dxa" w:w="100"/>
              <w:left w:type="dxa" w:w="120"/>
              <w:bottom w:type="dxa" w:w="100"/>
              <w:right w:type="dxa" w:w="120"/>
            </w:tcMar>
          </w:tcPr>
          <w:p>
            <w:r>
              <w:rPr>
                <w:b w:val="false"/>
                <w:bCs w:val="false"/>
              </w:rPr>
              <w:t xml:space="preserve">—</w:t>
            </w:r>
          </w:p>
        </w:tc>
      </w:tr>
      <w:tr>
        <w:tc>
          <w:tcPr>
            <w:tcW w:type="dxa" w:w="2400"/>
            <w:tcMar>
              <w:top w:type="dxa" w:w="100"/>
              <w:left w:type="dxa" w:w="120"/>
              <w:bottom w:type="dxa" w:w="100"/>
              <w:right w:type="dxa" w:w="120"/>
            </w:tcMar>
          </w:tcPr>
          <w:p>
            <w:r>
              <w:rPr>
                <w:b/>
                <w:bCs/>
              </w:rPr>
              <w:t xml:space="preserve">Instalaciones</w:t>
            </w:r>
          </w:p>
        </w:tc>
        <w:tc>
          <w:tcPr>
            <w:tcW w:type="dxa" w:w="2400"/>
            <w:tcMar>
              <w:top w:type="dxa" w:w="100"/>
              <w:left w:type="dxa" w:w="120"/>
              <w:bottom w:type="dxa" w:w="100"/>
              <w:right w:type="dxa" w:w="120"/>
            </w:tcMar>
          </w:tcPr>
          <w:p>
            <w:r>
              <w:rPr>
                <w:b w:val="false"/>
                <w:bCs w:val="false"/>
              </w:rPr>
              <w:t xml:space="preserve">—</w:t>
            </w:r>
          </w:p>
        </w:tc>
        <w:tc>
          <w:tcPr>
            <w:tcW w:type="dxa" w:w="2900"/>
            <w:tcMar>
              <w:top w:type="dxa" w:w="100"/>
              <w:left w:type="dxa" w:w="120"/>
              <w:bottom w:type="dxa" w:w="100"/>
              <w:right w:type="dxa" w:w="120"/>
            </w:tcMar>
          </w:tcPr>
          <w:p>
            <w:r>
              <w:rPr>
                <w:b w:val="false"/>
                <w:bCs w:val="false"/>
              </w:rPr>
              <w:t xml:space="preserve">— (en revisión)</w:t>
            </w:r>
          </w:p>
        </w:tc>
        <w:tc>
          <w:tcPr>
            <w:tcW w:type="dxa" w:w="1800"/>
            <w:tcMar>
              <w:top w:type="dxa" w:w="100"/>
              <w:left w:type="dxa" w:w="120"/>
              <w:bottom w:type="dxa" w:w="100"/>
              <w:right w:type="dxa" w:w="120"/>
            </w:tcMar>
          </w:tcPr>
          <w:p>
            <w:r>
              <w:rPr>
                <w:b w:val="false"/>
                <w:bCs w:val="false"/>
              </w:rPr>
              <w:t xml:space="preserve">—</w:t>
            </w:r>
          </w:p>
        </w:tc>
      </w:tr>
      <w:tr>
        <w:tc>
          <w:tcPr>
            <w:tcW w:type="dxa" w:w="2400"/>
            <w:tcMar>
              <w:top w:type="dxa" w:w="100"/>
              <w:left w:type="dxa" w:w="120"/>
              <w:bottom w:type="dxa" w:w="100"/>
              <w:right w:type="dxa" w:w="120"/>
            </w:tcMar>
          </w:tcPr>
          <w:p>
            <w:r>
              <w:rPr>
                <w:b/>
                <w:bCs/>
              </w:rPr>
              <w:t xml:space="preserve">Servicio Técnico</w:t>
            </w:r>
          </w:p>
        </w:tc>
        <w:tc>
          <w:tcPr>
            <w:tcW w:type="dxa" w:w="2400"/>
            <w:tcMar>
              <w:top w:type="dxa" w:w="100"/>
              <w:left w:type="dxa" w:w="120"/>
              <w:bottom w:type="dxa" w:w="100"/>
              <w:right w:type="dxa" w:w="120"/>
            </w:tcMar>
          </w:tcPr>
          <w:p>
            <w:r>
              <w:rPr>
                <w:b w:val="false"/>
                <w:bCs w:val="false"/>
              </w:rPr>
              <w:t xml:space="preserve">—</w:t>
            </w:r>
          </w:p>
        </w:tc>
        <w:tc>
          <w:tcPr>
            <w:tcW w:type="dxa" w:w="2900"/>
            <w:tcMar>
              <w:top w:type="dxa" w:w="100"/>
              <w:left w:type="dxa" w:w="120"/>
              <w:bottom w:type="dxa" w:w="100"/>
              <w:right w:type="dxa" w:w="120"/>
            </w:tcMar>
          </w:tcPr>
          <w:p>
            <w:r>
              <w:rPr>
                <w:b w:val="false"/>
                <w:bCs w:val="false"/>
              </w:rPr>
              <w:t xml:space="preserve">— (en revisión)</w:t>
            </w:r>
          </w:p>
        </w:tc>
        <w:tc>
          <w:tcPr>
            <w:tcW w:type="dxa" w:w="1800"/>
            <w:tcMar>
              <w:top w:type="dxa" w:w="100"/>
              <w:left w:type="dxa" w:w="120"/>
              <w:bottom w:type="dxa" w:w="100"/>
              <w:right w:type="dxa" w:w="120"/>
            </w:tcMar>
          </w:tcPr>
          <w:p>
            <w:r>
              <w:rPr>
                <w:b w:val="false"/>
                <w:bCs w:val="false"/>
              </w:rPr>
              <w:t xml:space="preserve">—</w:t>
            </w:r>
          </w:p>
        </w:tc>
      </w:tr>
      <w:tr>
        <w:tc>
          <w:tcPr>
            <w:tcW w:type="dxa" w:w="2400"/>
            <w:tcMar>
              <w:top w:type="dxa" w:w="100"/>
              <w:left w:type="dxa" w:w="120"/>
              <w:bottom w:type="dxa" w:w="100"/>
              <w:right w:type="dxa" w:w="120"/>
            </w:tcMar>
          </w:tcPr>
          <w:p>
            <w:r>
              <w:rPr>
                <w:b/>
                <w:bCs/>
              </w:rPr>
              <w:t xml:space="preserve">Operadores</w:t>
            </w:r>
          </w:p>
        </w:tc>
        <w:tc>
          <w:tcPr>
            <w:tcW w:type="dxa" w:w="2400"/>
            <w:tcMar>
              <w:top w:type="dxa" w:w="100"/>
              <w:left w:type="dxa" w:w="120"/>
              <w:bottom w:type="dxa" w:w="100"/>
              <w:right w:type="dxa" w:w="120"/>
            </w:tcMar>
          </w:tcPr>
          <w:p>
            <w:r>
              <w:rPr>
                <w:b w:val="false"/>
                <w:bCs w:val="false"/>
              </w:rPr>
              <w:t xml:space="preserve">—</w:t>
            </w:r>
          </w:p>
        </w:tc>
        <w:tc>
          <w:tcPr>
            <w:tcW w:type="dxa" w:w="2900"/>
            <w:tcMar>
              <w:top w:type="dxa" w:w="100"/>
              <w:left w:type="dxa" w:w="120"/>
              <w:bottom w:type="dxa" w:w="100"/>
              <w:right w:type="dxa" w:w="120"/>
            </w:tcMar>
          </w:tcPr>
          <w:p>
            <w:r>
              <w:rPr>
                <w:b w:val="false"/>
                <w:bCs w:val="false"/>
              </w:rPr>
              <w:t xml:space="preserve">— (en revisión)</w:t>
            </w:r>
          </w:p>
        </w:tc>
        <w:tc>
          <w:tcPr>
            <w:tcW w:type="dxa" w:w="1800"/>
            <w:tcMar>
              <w:top w:type="dxa" w:w="100"/>
              <w:left w:type="dxa" w:w="120"/>
              <w:bottom w:type="dxa" w:w="100"/>
              <w:right w:type="dxa" w:w="120"/>
            </w:tcMar>
          </w:tcPr>
          <w:p>
            <w:r>
              <w:rPr>
                <w:b w:val="false"/>
                <w:bCs w:val="false"/>
              </w:rPr>
              <w:t xml:space="preserve">—</w:t>
            </w:r>
          </w:p>
        </w:tc>
      </w:tr>
      <w:tr>
        <w:tc>
          <w:tcPr>
            <w:tcW w:type="dxa" w:w="2400"/>
            <w:tcMar>
              <w:top w:type="dxa" w:w="100"/>
              <w:left w:type="dxa" w:w="120"/>
              <w:bottom w:type="dxa" w:w="100"/>
              <w:right w:type="dxa" w:w="120"/>
            </w:tcMar>
          </w:tcPr>
          <w:p>
            <w:r>
              <w:rPr>
                <w:b/>
                <w:bCs/>
              </w:rPr>
              <w:t xml:space="preserve">Admin y Precios</w:t>
            </w:r>
          </w:p>
        </w:tc>
        <w:tc>
          <w:tcPr>
            <w:tcW w:type="dxa" w:w="2400"/>
            <w:tcMar>
              <w:top w:type="dxa" w:w="100"/>
              <w:left w:type="dxa" w:w="120"/>
              <w:bottom w:type="dxa" w:w="100"/>
              <w:right w:type="dxa" w:w="120"/>
            </w:tcMar>
          </w:tcPr>
          <w:p>
            <w:r>
              <w:rPr>
                <w:b w:val="false"/>
                <w:bCs w:val="false"/>
              </w:rPr>
              <w:t xml:space="preserve">—</w:t>
            </w:r>
          </w:p>
        </w:tc>
        <w:tc>
          <w:tcPr>
            <w:tcW w:type="dxa" w:w="2900"/>
            <w:tcMar>
              <w:top w:type="dxa" w:w="100"/>
              <w:left w:type="dxa" w:w="120"/>
              <w:bottom w:type="dxa" w:w="100"/>
              <w:right w:type="dxa" w:w="120"/>
            </w:tcMar>
          </w:tcPr>
          <w:p>
            <w:r>
              <w:rPr>
                <w:b w:val="false"/>
                <w:bCs w:val="false"/>
              </w:rPr>
              <w:t xml:space="preserve">— (en revisión)</w:t>
            </w:r>
          </w:p>
        </w:tc>
        <w:tc>
          <w:tcPr>
            <w:tcW w:type="dxa" w:w="1800"/>
            <w:tcMar>
              <w:top w:type="dxa" w:w="100"/>
              <w:left w:type="dxa" w:w="120"/>
              <w:bottom w:type="dxa" w:w="100"/>
              <w:right w:type="dxa" w:w="120"/>
            </w:tcMar>
          </w:tcPr>
          <w:p>
            <w:r>
              <w:rPr>
                <w:b w:val="false"/>
                <w:bCs w:val="false"/>
              </w:rPr>
              <w:t xml:space="preserve">—</w:t>
            </w:r>
          </w:p>
        </w:tc>
      </w:tr>
      <w:tr>
        <w:tc>
          <w:tcPr>
            <w:tcW w:type="dxa" w:w="2400"/>
            <w:tcMar>
              <w:top w:type="dxa" w:w="100"/>
              <w:left w:type="dxa" w:w="120"/>
              <w:bottom w:type="dxa" w:w="100"/>
              <w:right w:type="dxa" w:w="120"/>
            </w:tcMar>
          </w:tcPr>
          <w:p>
            <w:r>
              <w:rPr>
                <w:b/>
                <w:bCs/>
              </w:rPr>
              <w:t xml:space="preserve">Facturación</w:t>
            </w:r>
          </w:p>
        </w:tc>
        <w:tc>
          <w:tcPr>
            <w:tcW w:type="dxa" w:w="2400"/>
            <w:tcMar>
              <w:top w:type="dxa" w:w="100"/>
              <w:left w:type="dxa" w:w="120"/>
              <w:bottom w:type="dxa" w:w="100"/>
              <w:right w:type="dxa" w:w="120"/>
            </w:tcMar>
          </w:tcPr>
          <w:p>
            <w:r>
              <w:rPr>
                <w:b w:val="false"/>
                <w:bCs w:val="false"/>
              </w:rPr>
              <w:t xml:space="preserve">—</w:t>
            </w:r>
          </w:p>
        </w:tc>
        <w:tc>
          <w:tcPr>
            <w:tcW w:type="dxa" w:w="2900"/>
            <w:tcMar>
              <w:top w:type="dxa" w:w="100"/>
              <w:left w:type="dxa" w:w="120"/>
              <w:bottom w:type="dxa" w:w="100"/>
              <w:right w:type="dxa" w:w="120"/>
            </w:tcMar>
          </w:tcPr>
          <w:p>
            <w:r>
              <w:rPr>
                <w:b w:val="false"/>
                <w:bCs w:val="false"/>
              </w:rPr>
              <w:t xml:space="preserve">— (en revisión)</w:t>
            </w:r>
          </w:p>
        </w:tc>
        <w:tc>
          <w:tcPr>
            <w:tcW w:type="dxa" w:w="1800"/>
            <w:tcMar>
              <w:top w:type="dxa" w:w="100"/>
              <w:left w:type="dxa" w:w="120"/>
              <w:bottom w:type="dxa" w:w="100"/>
              <w:right w:type="dxa" w:w="120"/>
            </w:tcMar>
          </w:tcPr>
          <w:p>
            <w:r>
              <w:rPr>
                <w:b w:val="false"/>
                <w:bCs w:val="false"/>
              </w:rPr>
              <w:t xml:space="preserve">—</w:t>
            </w:r>
          </w:p>
        </w:tc>
      </w:tr>
    </w:tbl>
    <w:p>
      <w:pPr>
        <w:pStyle w:val="Heading1"/>
        <w:spacing w:after="160" w:before="320"/>
      </w:pPr>
      <w:r>
        <w:t xml:space="preserve">Identificación del servicio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val="clear"/>
            <w:tcMar>
              <w:top w:type="dxa" w:w="100"/>
              <w:left w:type="dxa" w:w="120"/>
              <w:bottom w:type="dxa" w:w="100"/>
              <w:right w:type="dxa" w:w="120"/>
            </w:tcMar>
          </w:tcPr>
          <w:p>
            <w:r>
              <w:rPr>
                <w:b/>
                <w:bCs/>
                <w:color w:val="FFFFFF"/>
              </w:rPr>
              <w:t xml:space="preserve">Campo</w:t>
            </w:r>
          </w:p>
        </w:tc>
        <w:tc>
          <w:tcPr>
            <w:tcW w:type="dxa" w:w="6700"/>
            <w:shd w:fill="1F3864" w:val="clear"/>
            <w:tcMar>
              <w:top w:type="dxa" w:w="100"/>
              <w:left w:type="dxa" w:w="120"/>
              <w:bottom w:type="dxa" w:w="100"/>
              <w:right w:type="dxa" w:w="120"/>
            </w:tcMar>
          </w:tcPr>
          <w:p>
            <w:r>
              <w:rPr>
                <w:b/>
                <w:bCs/>
                <w:color w:val="FFFFFF"/>
              </w:rPr>
              <w:t xml:space="preserve">Detalle</w:t>
            </w:r>
          </w:p>
        </w:tc>
      </w:tr>
      <w:tr>
        <w:tc>
          <w:tcPr>
            <w:tcW w:type="dxa" w:w="2800"/>
            <w:tcMar>
              <w:top w:type="dxa" w:w="100"/>
              <w:left w:type="dxa" w:w="120"/>
              <w:bottom w:type="dxa" w:w="100"/>
              <w:right w:type="dxa" w:w="120"/>
            </w:tcMar>
          </w:tcPr>
          <w:p>
            <w:r>
              <w:rPr>
                <w:b/>
                <w:bCs/>
              </w:rPr>
              <w:t xml:space="preserve">Nombre del servicio</w:t>
            </w:r>
          </w:p>
        </w:tc>
        <w:tc>
          <w:tcPr>
            <w:tcW w:type="dxa" w:w="6700"/>
            <w:tcMar>
              <w:top w:type="dxa" w:w="100"/>
              <w:left w:type="dxa" w:w="120"/>
              <w:bottom w:type="dxa" w:w="100"/>
              <w:right w:type="dxa" w:w="120"/>
            </w:tcMar>
          </w:tcPr>
          <w:p>
            <w:r>
              <w:rPr>
                <w:b w:val="false"/>
                <w:bCs w:val="false"/>
              </w:rPr>
              <w:t xml:space="preserve">SP Hogar Seguro — Venta</w:t>
            </w:r>
          </w:p>
        </w:tc>
      </w:tr>
      <w:tr>
        <w:tc>
          <w:tcPr>
            <w:tcW w:type="dxa" w:w="2800"/>
            <w:tcMar>
              <w:top w:type="dxa" w:w="100"/>
              <w:left w:type="dxa" w:w="120"/>
              <w:bottom w:type="dxa" w:w="100"/>
              <w:right w:type="dxa" w:w="120"/>
            </w:tcMar>
          </w:tcPr>
          <w:p>
            <w:r>
              <w:rPr>
                <w:b/>
                <w:bCs/>
              </w:rPr>
              <w:t xml:space="preserve">Área responsable</w:t>
            </w:r>
          </w:p>
        </w:tc>
        <w:tc>
          <w:tcPr>
            <w:tcW w:type="dxa" w:w="6700"/>
            <w:tcMar>
              <w:top w:type="dxa" w:w="100"/>
              <w:left w:type="dxa" w:w="120"/>
              <w:bottom w:type="dxa" w:w="100"/>
              <w:right w:type="dxa" w:w="120"/>
            </w:tcMar>
          </w:tcPr>
          <w:p>
            <w:r>
              <w:rPr>
                <w:b w:val="false"/>
                <w:bCs w:val="false"/>
              </w:rPr>
              <w:t xml:space="preserve">[A completar]</w:t>
            </w:r>
          </w:p>
        </w:tc>
      </w:tr>
      <w:tr>
        <w:tc>
          <w:tcPr>
            <w:tcW w:type="dxa" w:w="2800"/>
            <w:tcMar>
              <w:top w:type="dxa" w:w="100"/>
              <w:left w:type="dxa" w:w="120"/>
              <w:bottom w:type="dxa" w:w="100"/>
              <w:right w:type="dxa" w:w="120"/>
            </w:tcMar>
          </w:tcPr>
          <w:p>
            <w:r>
              <w:rPr>
                <w:b/>
                <w:bCs/>
              </w:rPr>
              <w:t xml:space="preserve">Tipo de servicio</w:t>
            </w:r>
          </w:p>
        </w:tc>
        <w:tc>
          <w:tcPr>
            <w:tcW w:type="dxa" w:w="6700"/>
            <w:tcMar>
              <w:top w:type="dxa" w:w="100"/>
              <w:left w:type="dxa" w:w="120"/>
              <w:bottom w:type="dxa" w:w="100"/>
              <w:right w:type="dxa" w:w="120"/>
            </w:tcMar>
          </w:tcPr>
          <w:p>
            <w:r>
              <w:rPr>
                <w:b w:val="false"/>
                <w:bCs w:val="false"/>
              </w:rPr>
              <w:t xml:space="preserve">Venta directa de equipamiento de alarma monitoreada — el cliente es propietario del equipo desde la instalación.</w:t>
            </w:r>
          </w:p>
        </w:tc>
      </w:tr>
      <w:tr>
        <w:tc>
          <w:tcPr>
            <w:tcW w:type="dxa" w:w="2800"/>
            <w:tcMar>
              <w:top w:type="dxa" w:w="100"/>
              <w:left w:type="dxa" w:w="120"/>
              <w:bottom w:type="dxa" w:w="100"/>
              <w:right w:type="dxa" w:w="120"/>
            </w:tcMar>
          </w:tcPr>
          <w:p>
            <w:r>
              <w:rPr>
                <w:b/>
                <w:bCs/>
              </w:rPr>
              <w:t xml:space="preserve">Cliente objetivo</w:t>
            </w:r>
          </w:p>
        </w:tc>
        <w:tc>
          <w:tcPr>
            <w:tcW w:type="dxa" w:w="6700"/>
            <w:tcMar>
              <w:top w:type="dxa" w:w="100"/>
              <w:left w:type="dxa" w:w="120"/>
              <w:bottom w:type="dxa" w:w="100"/>
              <w:right w:type="dxa" w:w="120"/>
            </w:tcMar>
          </w:tcPr>
          <w:p>
            <w:r>
              <w:rPr>
                <w:b w:val="false"/>
                <w:bCs w:val="false"/>
              </w:rPr>
              <w:t xml:space="preserve">Viviendas particulares (casas y departamentos) — [A completar: zona de cobertura, ej. La Plata y Gran La Plata].</w:t>
            </w:r>
          </w:p>
        </w:tc>
      </w:tr>
      <w:tr>
        <w:tc>
          <w:tcPr>
            <w:tcW w:type="dxa" w:w="2800"/>
            <w:tcMar>
              <w:top w:type="dxa" w:w="100"/>
              <w:left w:type="dxa" w:w="120"/>
              <w:bottom w:type="dxa" w:w="100"/>
              <w:right w:type="dxa" w:w="120"/>
            </w:tcMar>
          </w:tcPr>
          <w:p>
            <w:r>
              <w:rPr>
                <w:b/>
                <w:bCs/>
              </w:rPr>
              <w:t xml:space="preserve">Plazo de contrato</w:t>
            </w:r>
          </w:p>
        </w:tc>
        <w:tc>
          <w:tcPr>
            <w:tcW w:type="dxa" w:w="6700"/>
            <w:tcMar>
              <w:top w:type="dxa" w:w="100"/>
              <w:left w:type="dxa" w:w="120"/>
              <w:bottom w:type="dxa" w:w="100"/>
              <w:right w:type="dxa" w:w="120"/>
            </w:tcMar>
          </w:tcPr>
          <w:p>
            <w:r>
              <w:rPr>
                <w:b w:val="false"/>
                <w:bCs w:val="false"/>
              </w:rPr>
              <w:t xml:space="preserve">[A completar]</w:t>
            </w:r>
          </w:p>
        </w:tc>
      </w:tr>
      <w:tr>
        <w:tc>
          <w:tcPr>
            <w:tcW w:type="dxa" w:w="2800"/>
            <w:tcMar>
              <w:top w:type="dxa" w:w="100"/>
              <w:left w:type="dxa" w:w="120"/>
              <w:bottom w:type="dxa" w:w="100"/>
              <w:right w:type="dxa" w:w="120"/>
            </w:tcMar>
          </w:tcPr>
          <w:p>
            <w:r>
              <w:rPr>
                <w:b/>
                <w:bCs/>
              </w:rPr>
              <w:t xml:space="preserve">Plataforma</w:t>
            </w:r>
          </w:p>
        </w:tc>
        <w:tc>
          <w:tcPr>
            <w:tcW w:type="dxa" w:w="6700"/>
            <w:tcMar>
              <w:top w:type="dxa" w:w="100"/>
              <w:left w:type="dxa" w:w="120"/>
              <w:bottom w:type="dxa" w:w="100"/>
              <w:right w:type="dxa" w:w="120"/>
            </w:tcMar>
          </w:tcPr>
          <w:p>
            <w:r>
              <w:rPr>
                <w:b w:val="false"/>
                <w:bCs w:val="false"/>
              </w:rPr>
              <w:t xml:space="preserve">Doble ecosistema según instalación: App Hik-Connect (línea Hikvision AXPRO) o App Ajax Security (línea Ajax) — [A confirmar plataforma estándar recomendada por Producto].</w:t>
            </w:r>
          </w:p>
        </w:tc>
      </w:tr>
      <w:tr>
        <w:tc>
          <w:tcPr>
            <w:tcW w:type="dxa" w:w="2800"/>
            <w:tcMar>
              <w:top w:type="dxa" w:w="100"/>
              <w:left w:type="dxa" w:w="120"/>
              <w:bottom w:type="dxa" w:w="100"/>
              <w:right w:type="dxa" w:w="120"/>
            </w:tcMar>
          </w:tcPr>
          <w:p>
            <w:r>
              <w:rPr>
                <w:b/>
                <w:bCs/>
              </w:rPr>
              <w:t xml:space="preserve">Modalidad de provisión del equipo</w:t>
            </w:r>
          </w:p>
        </w:tc>
        <w:tc>
          <w:tcPr>
            <w:tcW w:type="dxa" w:w="6700"/>
            <w:tcMar>
              <w:top w:type="dxa" w:w="100"/>
              <w:left w:type="dxa" w:w="120"/>
              <w:bottom w:type="dxa" w:w="100"/>
              <w:right w:type="dxa" w:w="120"/>
            </w:tcMar>
          </w:tcPr>
          <w:p>
            <w:r>
              <w:rPr>
                <w:b w:val="false"/>
                <w:bCs w:val="false"/>
              </w:rPr>
              <w:t xml:space="preserve">Venta directa: el equipo pasa a ser propiedad del cliente desde la instalación — a diferencia de SP Comercio Seguro, que se ofrece en comodato.</w:t>
            </w:r>
          </w:p>
        </w:tc>
      </w:tr>
    </w:tbl>
    <w:p>
      <w:pPr>
        <w:pStyle w:val="Heading1"/>
        <w:spacing w:after="160" w:before="320"/>
      </w:pPr>
      <w:r>
        <w:t xml:space="preserve">Terminología</w:t>
      </w:r>
    </w:p>
    <w:p>
      <w:pPr>
        <w:spacing w:after="160"/>
      </w:pPr>
      <w:r>
        <w:rPr>
          <w:i/>
          <w:iCs/>
          <w:color w:val="595959"/>
        </w:rPr>
        <w:t xml:space="preserve">[A completar] — no hay términos definidos todavía en el borrador de esta ficha.</w:t>
      </w:r>
    </w:p>
    <w:p>
      <w:pPr>
        <w:pStyle w:val="Heading1"/>
        <w:spacing w:after="160" w:before="320"/>
      </w:pPr>
      <w:r>
        <w:t xml:space="preserve">Propuesta de valor</w:t>
      </w:r>
    </w:p>
    <w:p>
      <w:pPr>
        <w:pStyle w:val="Heading2"/>
        <w:spacing w:after="120" w:before="240"/>
      </w:pPr>
      <w:r>
        <w:t xml:space="preserve">Puntos de comercialización</w:t>
      </w:r>
    </w:p>
    <w:p>
      <w:pPr>
        <w:pStyle w:val="ListParagraph"/>
        <w:numPr>
          <w:ilvl w:val="0"/>
          <w:numId w:val="2"/>
        </w:numPr>
        <w:spacing w:after="80"/>
      </w:pPr>
      <w:r>
        <w:t xml:space="preserve">Venta directa: el cliente es propietario del equipo desde la instalación — a diferencia de SP Comercio Seguro, que se ofrece en comodato.</w:t>
      </w:r>
    </w:p>
    <w:p>
      <w:pPr>
        <w:pStyle w:val="ListParagraph"/>
        <w:numPr>
          <w:ilvl w:val="0"/>
          <w:numId w:val="2"/>
        </w:numPr>
        <w:spacing w:after="80"/>
      </w:pPr>
      <w:r>
        <w:t xml:space="preserve">Cargo de instalación único — [A completar: monto y política de bonificación].</w:t>
      </w:r>
    </w:p>
    <w:p>
      <w:pPr>
        <w:pStyle w:val="ListParagraph"/>
        <w:numPr>
          <w:ilvl w:val="0"/>
          <w:numId w:val="2"/>
        </w:numPr>
        <w:spacing w:after="80"/>
      </w:pPr>
      <w:r>
        <w:t xml:space="preserve">Abono mensual de monitoreo — [A completar: monto vigente].</w:t>
      </w:r>
    </w:p>
    <w:p>
      <w:pPr>
        <w:pStyle w:val="ListParagraph"/>
        <w:numPr>
          <w:ilvl w:val="0"/>
          <w:numId w:val="2"/>
        </w:numPr>
        <w:spacing w:after="80"/>
      </w:pPr>
      <w:r>
        <w:t xml:space="preserve">Adicional de abono 4G / Radio para domicilios sin línea fija o wifi estable.</w:t>
      </w:r>
    </w:p>
    <w:p>
      <w:pPr>
        <w:pStyle w:val="ListParagraph"/>
        <w:numPr>
          <w:ilvl w:val="0"/>
          <w:numId w:val="2"/>
        </w:numPr>
        <w:spacing w:after="80"/>
      </w:pPr>
      <w:r>
        <w:t xml:space="preserve">Instalación estándar con cuadrilla de 2 técnicos.</w:t>
      </w:r>
    </w:p>
    <w:p>
      <w:pPr>
        <w:pStyle w:val="ListParagraph"/>
        <w:numPr>
          <w:ilvl w:val="0"/>
          <w:numId w:val="2"/>
        </w:numPr>
        <w:spacing w:after="80"/>
      </w:pPr>
      <w:r>
        <w:t xml:space="preserve">Incluye: instalación, monitoreo 24/7, notificación inmediata, control por app, botón de pánico, Móvil de Acuda, informes de uso y aviso de corte de luz.</w:t>
      </w:r>
    </w:p>
    <w:p>
      <w:pPr>
        <w:pStyle w:val="ListParagraph"/>
        <w:numPr>
          <w:ilvl w:val="0"/>
          <w:numId w:val="2"/>
        </w:numPr>
        <w:spacing w:after="80"/>
      </w:pPr>
      <w:r>
        <w:t xml:space="preserve">La web pública no publica precios: el formulario deriva a "Cotizá tu abono" (lead a Ventas).</w:t>
      </w:r>
    </w:p>
    <w:p>
      <w:pPr>
        <w:spacing w:after="160"/>
      </w:pPr>
      <w:r>
        <w:rPr>
          <w:i/>
          <w:iCs/>
          <w:color w:val="595959"/>
        </w:rPr>
        <w:t xml:space="preserve">El detalle de volumen, tasa de cierre y mano de obra (con fuente de cada dato) está en "Procesos y áreas involucradas", no repetido acá para mantener esta sección enfocada en lo comercial.</w:t>
      </w:r>
    </w:p>
    <w:p>
      <w:pPr>
        <w:pStyle w:val="Heading1"/>
        <w:spacing w:after="160" w:before="320"/>
      </w:pPr>
      <w:r>
        <w:t xml:space="preserve">Objeciones frecuentes anticipadas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tcPr>
          <w:p>
            <w:r>
              <w:rPr>
                <w:b/>
                <w:bCs/>
                <w:color w:val="FFFFFF"/>
              </w:rPr>
              <w:t xml:space="preserve">Objeción del cliente</w:t>
            </w:r>
          </w:p>
        </w:tc>
        <w:tc>
          <w:tcPr>
            <w:tcW w:type="dxa" w:w="6300"/>
            <w:shd w:fill="1F3864" w:val="clear"/>
            <w:tcMar>
              <w:top w:type="dxa" w:w="100"/>
              <w:left w:type="dxa" w:w="120"/>
              <w:bottom w:type="dxa" w:w="100"/>
              <w:right w:type="dxa" w:w="120"/>
            </w:tcMar>
          </w:tcPr>
          <w:p>
            <w:r>
              <w:rPr>
                <w:b/>
                <w:bCs/>
                <w:color w:val="FFFFFF"/>
              </w:rPr>
              <w:t xml:space="preserve">Respuesta sugerida</w:t>
            </w:r>
          </w:p>
        </w:tc>
      </w:tr>
      <w:tr>
        <w:tc>
          <w:tcPr>
            <w:tcW w:type="dxa" w:w="3200"/>
            <w:tcMar>
              <w:top w:type="dxa" w:w="100"/>
              <w:left w:type="dxa" w:w="120"/>
              <w:bottom w:type="dxa" w:w="100"/>
              <w:right w:type="dxa" w:w="120"/>
            </w:tcMar>
          </w:tcPr>
          <w:p>
            <w:r>
              <w:rPr>
                <w:b w:val="false"/>
                <w:bCs w:val="false"/>
              </w:rPr>
              <w:t xml:space="preserve">[A completar]</w:t>
            </w:r>
          </w:p>
        </w:tc>
        <w:tc>
          <w:tcPr>
            <w:tcW w:type="dxa" w:w="6300"/>
            <w:tcMar>
              <w:top w:type="dxa" w:w="100"/>
              <w:left w:type="dxa" w:w="120"/>
              <w:bottom w:type="dxa" w:w="100"/>
              <w:right w:type="dxa" w:w="120"/>
            </w:tcMar>
          </w:tcPr>
          <w:p>
            <w:r>
              <w:rPr>
                <w:b w:val="false"/>
                <w:bCs w:val="false"/>
              </w:rPr>
              <w:t xml:space="preserve">Se sugiere adaptar la estructura de preguntas de la ficha de Comercio Seguro (activación/desactivación, batería, acceso a cámaras, tiempos de instalación, alta de usuarios) al escenario de venta directa, agregando: "¿Qué pasa si el equipo se rompe estando fuera de garantía?" — a diferencia de comodato, donde el reemplazo corre por cuenta de SP.</w:t>
            </w:r>
          </w:p>
        </w:tc>
      </w:tr>
    </w:tbl>
    <w:p>
      <w:pPr>
        <w:pStyle w:val="Heading1"/>
        <w:spacing w:after="160" w:before="320"/>
      </w:pPr>
      <w:r>
        <w:t xml:space="preserve">Condiciones comerciales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300"/>
      </w:tblGrid>
      <w:tr>
        <w:trPr>
          <w:tblHeader/>
        </w:trPr>
        <w:tc>
          <w:tcPr>
            <w:tcW w:type="dxa" w:w="3600"/>
            <w:shd w:fill="1F3864" w:val="clear"/>
            <w:tcMar>
              <w:top w:type="dxa" w:w="100"/>
              <w:left w:type="dxa" w:w="120"/>
              <w:bottom w:type="dxa" w:w="100"/>
              <w:right w:type="dxa" w:w="120"/>
            </w:tcMar>
          </w:tcPr>
          <w:p>
            <w:r>
              <w:rPr>
                <w:b/>
                <w:bCs/>
                <w:color w:val="FFFFFF"/>
              </w:rPr>
              <w:t xml:space="preserve">Concepto</w:t>
            </w:r>
          </w:p>
        </w:tc>
        <w:tc>
          <w:tcPr>
            <w:tcW w:type="dxa" w:w="1600"/>
            <w:shd w:fill="1F3864" w:val="clear"/>
            <w:tcMar>
              <w:top w:type="dxa" w:w="100"/>
              <w:left w:type="dxa" w:w="120"/>
              <w:bottom w:type="dxa" w:w="100"/>
              <w:right w:type="dxa" w:w="120"/>
            </w:tcMar>
          </w:tcPr>
          <w:p>
            <w:r>
              <w:rPr>
                <w:b/>
                <w:bCs/>
                <w:color w:val="FFFFFF"/>
              </w:rPr>
              <w:t xml:space="preserve">Precio</w:t>
            </w:r>
          </w:p>
        </w:tc>
        <w:tc>
          <w:tcPr>
            <w:tcW w:type="dxa" w:w="4300"/>
            <w:shd w:fill="1F3864" w:val="clear"/>
            <w:tcMar>
              <w:top w:type="dxa" w:w="100"/>
              <w:left w:type="dxa" w:w="120"/>
              <w:bottom w:type="dxa" w:w="100"/>
              <w:right w:type="dxa" w:w="120"/>
            </w:tcMar>
          </w:tcPr>
          <w:p>
            <w:r>
              <w:rPr>
                <w:b/>
                <w:bCs/>
                <w:color w:val="FFFFFF"/>
              </w:rPr>
              <w:t xml:space="preserve">Detalle</w:t>
            </w:r>
          </w:p>
        </w:tc>
      </w:tr>
      <w:tr>
        <w:tc>
          <w:tcPr>
            <w:tcW w:type="dxa" w:w="3600"/>
            <w:tcMar>
              <w:top w:type="dxa" w:w="100"/>
              <w:left w:type="dxa" w:w="120"/>
              <w:bottom w:type="dxa" w:w="100"/>
              <w:right w:type="dxa" w:w="120"/>
            </w:tcMar>
          </w:tcPr>
          <w:p>
            <w:r>
              <w:rPr>
                <w:b/>
                <w:bCs/>
              </w:rPr>
              <w:t xml:space="preserve">Venta del equipo — línea Hikvision AXPRO</w:t>
            </w:r>
          </w:p>
        </w:tc>
        <w:tc>
          <w:tcPr>
            <w:tcW w:type="dxa" w:w="1600"/>
            <w:tcMar>
              <w:top w:type="dxa" w:w="100"/>
              <w:left w:type="dxa" w:w="120"/>
              <w:bottom w:type="dxa" w:w="100"/>
              <w:right w:type="dxa" w:w="120"/>
            </w:tcMar>
          </w:tcPr>
          <w:p>
            <w:r>
              <w:rPr>
                <w:b w:val="false"/>
                <w:bCs w:val="false"/>
              </w:rPr>
              <w:t xml:space="preserve">$ —</w:t>
            </w:r>
          </w:p>
        </w:tc>
        <w:tc>
          <w:tcPr>
            <w:tcW w:type="dxa" w:w="4300"/>
            <w:tcMar>
              <w:top w:type="dxa" w:w="100"/>
              <w:left w:type="dxa" w:w="120"/>
              <w:bottom w:type="dxa" w:w="100"/>
              <w:right w:type="dxa" w:w="120"/>
            </w:tcMar>
          </w:tcPr>
          <w:p>
            <w:r>
              <w:rPr>
                <w:b w:val="false"/>
                <w:bCs w:val="false"/>
              </w:rPr>
              <w:t xml:space="preserve">Completar con precio vigente</w:t>
            </w:r>
          </w:p>
        </w:tc>
      </w:tr>
      <w:tr>
        <w:tc>
          <w:tcPr>
            <w:tcW w:type="dxa" w:w="3600"/>
            <w:tcMar>
              <w:top w:type="dxa" w:w="100"/>
              <w:left w:type="dxa" w:w="120"/>
              <w:bottom w:type="dxa" w:w="100"/>
              <w:right w:type="dxa" w:w="120"/>
            </w:tcMar>
          </w:tcPr>
          <w:p>
            <w:r>
              <w:rPr>
                <w:b/>
                <w:bCs/>
              </w:rPr>
              <w:t xml:space="preserve">Venta del equipo — línea Ajax</w:t>
            </w:r>
          </w:p>
        </w:tc>
        <w:tc>
          <w:tcPr>
            <w:tcW w:type="dxa" w:w="1600"/>
            <w:tcMar>
              <w:top w:type="dxa" w:w="100"/>
              <w:left w:type="dxa" w:w="120"/>
              <w:bottom w:type="dxa" w:w="100"/>
              <w:right w:type="dxa" w:w="120"/>
            </w:tcMar>
          </w:tcPr>
          <w:p>
            <w:r>
              <w:rPr>
                <w:b w:val="false"/>
                <w:bCs w:val="false"/>
              </w:rPr>
              <w:t xml:space="preserve">$ —</w:t>
            </w:r>
          </w:p>
        </w:tc>
        <w:tc>
          <w:tcPr>
            <w:tcW w:type="dxa" w:w="4300"/>
            <w:tcMar>
              <w:top w:type="dxa" w:w="100"/>
              <w:left w:type="dxa" w:w="120"/>
              <w:bottom w:type="dxa" w:w="100"/>
              <w:right w:type="dxa" w:w="120"/>
            </w:tcMar>
          </w:tcPr>
          <w:p>
            <w:r>
              <w:rPr>
                <w:b w:val="false"/>
                <w:bCs w:val="false"/>
              </w:rPr>
              <w:t xml:space="preserve">Completar con precio vigente</w:t>
            </w:r>
          </w:p>
        </w:tc>
      </w:tr>
      <w:tr>
        <w:tc>
          <w:tcPr>
            <w:tcW w:type="dxa" w:w="3600"/>
            <w:tcMar>
              <w:top w:type="dxa" w:w="100"/>
              <w:left w:type="dxa" w:w="120"/>
              <w:bottom w:type="dxa" w:w="100"/>
              <w:right w:type="dxa" w:w="120"/>
            </w:tcMar>
          </w:tcPr>
          <w:p>
            <w:r>
              <w:rPr>
                <w:b/>
                <w:bCs/>
              </w:rPr>
              <w:t xml:space="preserve">Cargo de instalación</w:t>
            </w:r>
          </w:p>
        </w:tc>
        <w:tc>
          <w:tcPr>
            <w:tcW w:type="dxa" w:w="1600"/>
            <w:tcMar>
              <w:top w:type="dxa" w:w="100"/>
              <w:left w:type="dxa" w:w="120"/>
              <w:bottom w:type="dxa" w:w="100"/>
              <w:right w:type="dxa" w:w="120"/>
            </w:tcMar>
          </w:tcPr>
          <w:p>
            <w:r>
              <w:rPr>
                <w:b w:val="false"/>
                <w:bCs w:val="false"/>
              </w:rPr>
              <w:t xml:space="preserve">$ —</w:t>
            </w:r>
          </w:p>
        </w:tc>
        <w:tc>
          <w:tcPr>
            <w:tcW w:type="dxa" w:w="4300"/>
            <w:tcMar>
              <w:top w:type="dxa" w:w="100"/>
              <w:left w:type="dxa" w:w="120"/>
              <w:bottom w:type="dxa" w:w="100"/>
              <w:right w:type="dxa" w:w="120"/>
            </w:tcMar>
          </w:tcPr>
          <w:p>
            <w:r>
              <w:rPr>
                <w:b w:val="false"/>
                <w:bCs w:val="false"/>
              </w:rPr>
              <w:t xml:space="preserve">Completar con precio vigente</w:t>
            </w:r>
          </w:p>
        </w:tc>
      </w:tr>
      <w:tr>
        <w:tc>
          <w:tcPr>
            <w:tcW w:type="dxa" w:w="3600"/>
            <w:tcMar>
              <w:top w:type="dxa" w:w="100"/>
              <w:left w:type="dxa" w:w="120"/>
              <w:bottom w:type="dxa" w:w="100"/>
              <w:right w:type="dxa" w:w="120"/>
            </w:tcMar>
          </w:tcPr>
          <w:p>
            <w:r>
              <w:rPr>
                <w:b/>
                <w:bCs/>
              </w:rPr>
              <w:t xml:space="preserve">Abono mensual de monitoreo</w:t>
            </w:r>
          </w:p>
        </w:tc>
        <w:tc>
          <w:tcPr>
            <w:tcW w:type="dxa" w:w="1600"/>
            <w:tcMar>
              <w:top w:type="dxa" w:w="100"/>
              <w:left w:type="dxa" w:w="120"/>
              <w:bottom w:type="dxa" w:w="100"/>
              <w:right w:type="dxa" w:w="120"/>
            </w:tcMar>
          </w:tcPr>
          <w:p>
            <w:r>
              <w:rPr>
                <w:b w:val="false"/>
                <w:bCs w:val="false"/>
              </w:rPr>
              <w:t xml:space="preserve">$ —</w:t>
            </w:r>
          </w:p>
        </w:tc>
        <w:tc>
          <w:tcPr>
            <w:tcW w:type="dxa" w:w="4300"/>
            <w:tcMar>
              <w:top w:type="dxa" w:w="100"/>
              <w:left w:type="dxa" w:w="120"/>
              <w:bottom w:type="dxa" w:w="100"/>
              <w:right w:type="dxa" w:w="120"/>
            </w:tcMar>
          </w:tcPr>
          <w:p>
            <w:r>
              <w:rPr>
                <w:b w:val="false"/>
                <w:bCs w:val="false"/>
              </w:rPr>
              <w:t xml:space="preserve">Completar con precio vigente (recurrente)</w:t>
            </w:r>
          </w:p>
        </w:tc>
      </w:tr>
      <w:tr>
        <w:tc>
          <w:tcPr>
            <w:tcW w:type="dxa" w:w="3600"/>
            <w:tcMar>
              <w:top w:type="dxa" w:w="100"/>
              <w:left w:type="dxa" w:w="120"/>
              <w:bottom w:type="dxa" w:w="100"/>
              <w:right w:type="dxa" w:w="120"/>
            </w:tcMar>
          </w:tcPr>
          <w:p>
            <w:r>
              <w:rPr>
                <w:b/>
                <w:bCs/>
              </w:rPr>
              <w:t xml:space="preserve">Adicional 4G / Radio</w:t>
            </w:r>
          </w:p>
        </w:tc>
        <w:tc>
          <w:tcPr>
            <w:tcW w:type="dxa" w:w="1600"/>
            <w:tcMar>
              <w:top w:type="dxa" w:w="100"/>
              <w:left w:type="dxa" w:w="120"/>
              <w:bottom w:type="dxa" w:w="100"/>
              <w:right w:type="dxa" w:w="120"/>
            </w:tcMar>
          </w:tcPr>
          <w:p>
            <w:r>
              <w:rPr>
                <w:b w:val="false"/>
                <w:bCs w:val="false"/>
              </w:rPr>
              <w:t xml:space="preserve">$ —</w:t>
            </w:r>
          </w:p>
        </w:tc>
        <w:tc>
          <w:tcPr>
            <w:tcW w:type="dxa" w:w="4300"/>
            <w:tcMar>
              <w:top w:type="dxa" w:w="100"/>
              <w:left w:type="dxa" w:w="120"/>
              <w:bottom w:type="dxa" w:w="100"/>
              <w:right w:type="dxa" w:w="120"/>
            </w:tcMar>
          </w:tcPr>
          <w:p>
            <w:r>
              <w:rPr>
                <w:b w:val="false"/>
                <w:bCs w:val="false"/>
              </w:rPr>
              <w:t xml:space="preserve">Completar con precio vigente</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val="clear"/>
            <w:tcMar>
              <w:top w:type="dxa" w:w="100"/>
              <w:left w:type="dxa" w:w="120"/>
              <w:bottom w:type="dxa" w:w="100"/>
              <w:right w:type="dxa" w:w="120"/>
            </w:tcMar>
          </w:tcPr>
          <w:p>
            <w:r>
              <w:rPr>
                <w:b/>
                <w:bCs/>
                <w:color w:val="FFFFFF"/>
              </w:rPr>
              <w:t xml:space="preserve">Campo</w:t>
            </w:r>
          </w:p>
        </w:tc>
        <w:tc>
          <w:tcPr>
            <w:tcW w:type="dxa" w:w="6700"/>
            <w:shd w:fill="1F3864" w:val="clear"/>
            <w:tcMar>
              <w:top w:type="dxa" w:w="100"/>
              <w:left w:type="dxa" w:w="120"/>
              <w:bottom w:type="dxa" w:w="100"/>
              <w:right w:type="dxa" w:w="120"/>
            </w:tcMar>
          </w:tcPr>
          <w:p>
            <w:r>
              <w:rPr>
                <w:b/>
                <w:bCs/>
                <w:color w:val="FFFFFF"/>
              </w:rPr>
              <w:t xml:space="preserve">Detalle</w:t>
            </w:r>
          </w:p>
        </w:tc>
      </w:tr>
      <w:tr>
        <w:tc>
          <w:tcPr>
            <w:tcW w:type="dxa" w:w="2800"/>
            <w:tcMar>
              <w:top w:type="dxa" w:w="100"/>
              <w:left w:type="dxa" w:w="120"/>
              <w:bottom w:type="dxa" w:w="100"/>
              <w:right w:type="dxa" w:w="120"/>
            </w:tcMar>
          </w:tcPr>
          <w:p>
            <w:r>
              <w:rPr>
                <w:b/>
                <w:bCs/>
              </w:rPr>
              <w:t xml:space="preserve">Ajuste de precios</w:t>
            </w:r>
          </w:p>
        </w:tc>
        <w:tc>
          <w:tcPr>
            <w:tcW w:type="dxa" w:w="6700"/>
            <w:tcMar>
              <w:top w:type="dxa" w:w="100"/>
              <w:left w:type="dxa" w:w="120"/>
              <w:bottom w:type="dxa" w:w="100"/>
              <w:right w:type="dxa" w:w="120"/>
            </w:tcMar>
          </w:tcPr>
          <w:p>
            <w:r>
              <w:rPr>
                <w:b w:val="false"/>
                <w:bCs w:val="false"/>
              </w:rPr>
              <w:t xml:space="preserve">— Completar condiciones de ajuste de precios —</w:t>
            </w:r>
          </w:p>
        </w:tc>
      </w:tr>
      <w:tr>
        <w:tc>
          <w:tcPr>
            <w:tcW w:type="dxa" w:w="2800"/>
            <w:tcMar>
              <w:top w:type="dxa" w:w="100"/>
              <w:left w:type="dxa" w:w="120"/>
              <w:bottom w:type="dxa" w:w="100"/>
              <w:right w:type="dxa" w:w="120"/>
            </w:tcMar>
          </w:tcPr>
          <w:p>
            <w:r>
              <w:rPr>
                <w:b/>
                <w:bCs/>
              </w:rPr>
              <w:t xml:space="preserve">Condiciones de cancelación</w:t>
            </w:r>
          </w:p>
        </w:tc>
        <w:tc>
          <w:tcPr>
            <w:tcW w:type="dxa" w:w="6700"/>
            <w:tcMar>
              <w:top w:type="dxa" w:w="100"/>
              <w:left w:type="dxa" w:w="120"/>
              <w:bottom w:type="dxa" w:w="100"/>
              <w:right w:type="dxa" w:w="120"/>
            </w:tcMar>
          </w:tcPr>
          <w:p>
            <w:r>
              <w:rPr>
                <w:b w:val="false"/>
                <w:bCs w:val="false"/>
              </w:rPr>
              <w:t xml:space="preserve">[A completar] — Confirmar si aplica cancelación anticipada dado que no hay comodato de por medio, a diferencia de Comercio Seguro donde la penalidad está atada al contrato de comodato.</w:t>
            </w:r>
          </w:p>
        </w:tc>
      </w:tr>
    </w:tbl>
    <w:p>
      <w:pPr>
        <w:spacing w:after="160"/>
      </w:pPr>
      <w:r>
        <w:rPr>
          <w:i/>
          <w:iCs/>
          <w:color w:val="595959"/>
        </w:rPr>
        <w:t xml:space="preserve">Todos los montos de esta sección están pendientes de carga — ver borrador Ficha Hogar Seguro (13-ago-2026), sección 5.</w:t>
      </w:r>
    </w:p>
    <w:p>
      <w:pPr>
        <w:pStyle w:val="Heading1"/>
        <w:spacing w:after="160" w:before="320"/>
      </w:pPr>
      <w:r>
        <w:t xml:space="preserve">Comparación con la competencia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700"/>
      </w:tblGrid>
      <w:tr>
        <w:trPr>
          <w:tblHeader/>
        </w:trPr>
        <w:tc>
          <w:tcPr>
            <w:tcW w:type="dxa" w:w="2300"/>
            <w:shd w:fill="1F3864" w:val="clear"/>
            <w:tcMar>
              <w:top w:type="dxa" w:w="100"/>
              <w:left w:type="dxa" w:w="120"/>
              <w:bottom w:type="dxa" w:w="100"/>
              <w:right w:type="dxa" w:w="120"/>
            </w:tcMar>
          </w:tcPr>
          <w:p>
            <w:r>
              <w:rPr>
                <w:b/>
                <w:bCs/>
                <w:color w:val="FFFFFF"/>
              </w:rPr>
              <w:t xml:space="preserve">Criterio</w:t>
            </w:r>
          </w:p>
        </w:tc>
        <w:tc>
          <w:tcPr>
            <w:tcW w:type="dxa" w:w="1700"/>
            <w:shd w:fill="1F3864" w:val="clear"/>
            <w:tcMar>
              <w:top w:type="dxa" w:w="100"/>
              <w:left w:type="dxa" w:w="120"/>
              <w:bottom w:type="dxa" w:w="100"/>
              <w:right w:type="dxa" w:w="120"/>
            </w:tcMar>
          </w:tcPr>
          <w:p>
            <w:r>
              <w:rPr>
                <w:b/>
                <w:bCs/>
                <w:color w:val="FFFFFF"/>
              </w:rPr>
              <w:t xml:space="preserve">SP</w:t>
            </w:r>
          </w:p>
        </w:tc>
        <w:tc>
          <w:tcPr>
            <w:tcW w:type="dxa" w:w="1700"/>
            <w:shd w:fill="1F3864" w:val="clear"/>
            <w:tcMar>
              <w:top w:type="dxa" w:w="100"/>
              <w:left w:type="dxa" w:w="120"/>
              <w:bottom w:type="dxa" w:w="100"/>
              <w:right w:type="dxa" w:w="120"/>
            </w:tcMar>
          </w:tcPr>
          <w:p>
            <w:r>
              <w:rPr>
                <w:b/>
                <w:bCs/>
                <w:color w:val="FFFFFF"/>
              </w:rPr>
              <w:t xml:space="preserve">901</w:t>
            </w:r>
          </w:p>
        </w:tc>
        <w:tc>
          <w:tcPr>
            <w:tcW w:type="dxa" w:w="1700"/>
            <w:shd w:fill="1F3864" w:val="clear"/>
            <w:tcMar>
              <w:top w:type="dxa" w:w="100"/>
              <w:left w:type="dxa" w:w="120"/>
              <w:bottom w:type="dxa" w:w="100"/>
              <w:right w:type="dxa" w:w="120"/>
            </w:tcMar>
          </w:tcPr>
          <w:p>
            <w:r>
              <w:rPr>
                <w:b/>
                <w:bCs/>
                <w:color w:val="FFFFFF"/>
              </w:rPr>
              <w:t xml:space="preserve">Prosegur</w:t>
            </w:r>
          </w:p>
        </w:tc>
        <w:tc>
          <w:tcPr>
            <w:tcW w:type="dxa" w:w="1700"/>
            <w:shd w:fill="1F3864" w:val="clear"/>
            <w:tcMar>
              <w:top w:type="dxa" w:w="100"/>
              <w:left w:type="dxa" w:w="120"/>
              <w:bottom w:type="dxa" w:w="100"/>
              <w:right w:type="dxa" w:w="120"/>
            </w:tcMar>
          </w:tcPr>
          <w:p>
            <w:r>
              <w:rPr>
                <w:b/>
                <w:bCs/>
                <w:color w:val="FFFFFF"/>
              </w:rPr>
              <w:t xml:space="preserve">ADT</w:t>
            </w:r>
          </w:p>
        </w:tc>
      </w:tr>
      <w:tr>
        <w:tc>
          <w:tcPr>
            <w:tcW w:type="dxa" w:w="2300"/>
            <w:tcMar>
              <w:top w:type="dxa" w:w="100"/>
              <w:left w:type="dxa" w:w="120"/>
              <w:bottom w:type="dxa" w:w="100"/>
              <w:right w:type="dxa" w:w="120"/>
            </w:tcMar>
          </w:tcPr>
          <w:p>
            <w:r>
              <w:rPr>
                <w:b/>
                <w:bCs/>
              </w:rPr>
              <w:t xml:space="preserve">Equipamiento</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r>
      <w:tr>
        <w:tc>
          <w:tcPr>
            <w:tcW w:type="dxa" w:w="2300"/>
            <w:tcMar>
              <w:top w:type="dxa" w:w="100"/>
              <w:left w:type="dxa" w:w="120"/>
              <w:bottom w:type="dxa" w:w="100"/>
              <w:right w:type="dxa" w:w="120"/>
            </w:tcMar>
          </w:tcPr>
          <w:p>
            <w:r>
              <w:rPr>
                <w:b/>
                <w:bCs/>
              </w:rPr>
              <w:t xml:space="preserve">Venta / comodato</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r>
      <w:tr>
        <w:tc>
          <w:tcPr>
            <w:tcW w:type="dxa" w:w="2300"/>
            <w:tcMar>
              <w:top w:type="dxa" w:w="100"/>
              <w:left w:type="dxa" w:w="120"/>
              <w:bottom w:type="dxa" w:w="100"/>
              <w:right w:type="dxa" w:w="120"/>
            </w:tcMar>
          </w:tcPr>
          <w:p>
            <w:r>
              <w:rPr>
                <w:b/>
                <w:bCs/>
              </w:rPr>
              <w:t xml:space="preserve">Móvil Acuda propio</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r>
      <w:tr>
        <w:tc>
          <w:tcPr>
            <w:tcW w:type="dxa" w:w="2300"/>
            <w:tcMar>
              <w:top w:type="dxa" w:w="100"/>
              <w:left w:type="dxa" w:w="120"/>
              <w:bottom w:type="dxa" w:w="100"/>
              <w:right w:type="dxa" w:w="120"/>
            </w:tcMar>
          </w:tcPr>
          <w:p>
            <w:r>
              <w:rPr>
                <w:b/>
                <w:bCs/>
              </w:rPr>
              <w:t xml:space="preserve">Abono mensual</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r>
      <w:tr>
        <w:tc>
          <w:tcPr>
            <w:tcW w:type="dxa" w:w="2300"/>
            <w:tcMar>
              <w:top w:type="dxa" w:w="100"/>
              <w:left w:type="dxa" w:w="120"/>
              <w:bottom w:type="dxa" w:w="100"/>
              <w:right w:type="dxa" w:w="120"/>
            </w:tcMar>
          </w:tcPr>
          <w:p>
            <w:r>
              <w:rPr>
                <w:b/>
                <w:bCs/>
              </w:rPr>
              <w:t xml:space="preserve">Cargo instalación</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c>
          <w:tcPr>
            <w:tcW w:type="dxa" w:w="1700"/>
            <w:tcMar>
              <w:top w:type="dxa" w:w="100"/>
              <w:left w:type="dxa" w:w="120"/>
              <w:bottom w:type="dxa" w:w="100"/>
              <w:right w:type="dxa" w:w="120"/>
            </w:tcMar>
          </w:tcPr>
          <w:p>
            <w:r>
              <w:rPr>
                <w:b w:val="false"/>
                <w:bCs w:val="false"/>
              </w:rPr>
              <w:t xml:space="preserve">[A completar]</w:t>
            </w:r>
          </w:p>
        </w:tc>
      </w:tr>
    </w:tbl>
    <w:p>
      <w:pPr>
        <w:spacing w:after="160"/>
      </w:pPr>
      <w:r>
        <w:rPr>
          <w:i/>
          <w:iCs/>
          <w:color w:val="595959"/>
        </w:rPr>
        <w:t xml:space="preserve">Pendiente de completar — ver borrador Ficha Hogar Seguro, sección 9.</w:t>
      </w:r>
    </w:p>
    <w:p>
      <w:pPr>
        <w:pStyle w:val="Heading1"/>
        <w:spacing w:after="160" w:before="320"/>
      </w:pPr>
      <w:r>
        <w:t xml:space="preserve">Requerimientos para el cliente</w:t>
      </w:r>
    </w:p>
    <w:p>
      <w:pPr>
        <w:spacing w:after="160"/>
      </w:pPr>
      <w:r>
        <w:rPr>
          <w:i/>
          <w:iCs/>
          <w:color w:val="595959"/>
        </w:rPr>
        <w:t xml:space="preserve">[A completar]</w:t>
      </w:r>
    </w:p>
    <w:p>
      <w:pPr>
        <w:pStyle w:val="Heading1"/>
        <w:spacing w:after="160" w:before="320"/>
      </w:pPr>
      <w:r>
        <w:t xml:space="preserve">Material de marketing</w:t>
      </w:r>
    </w:p>
    <w:p>
      <w:pPr>
        <w:spacing w:after="160"/>
      </w:pPr>
      <w:r>
        <w:rPr>
          <w:i/>
          <w:iCs/>
          <w:color w:val="595959"/>
        </w:rPr>
        <w:t xml:space="preserve">[A completar — link a la carpeta de piezas de marketing]</w:t>
      </w:r>
    </w:p>
    <w:p>
      <w:pPr>
        <w:pStyle w:val="Heading1"/>
        <w:spacing w:after="160" w:before="320"/>
      </w:pPr>
      <w:r>
        <w:t xml:space="preserve">Cómo se entrega el servicio</w:t>
      </w:r>
    </w:p>
    <w:p>
      <w:pPr>
        <w:pStyle w:val="Heading2"/>
        <w:spacing w:after="120" w:before="240"/>
      </w:pPr>
      <w:r>
        <w:t xml:space="preserve">Servicios incluidos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tcPr>
          <w:p>
            <w:r>
              <w:rPr>
                <w:b/>
                <w:bCs/>
                <w:color w:val="FFFFFF"/>
              </w:rPr>
              <w:t xml:space="preserve">Servicio</w:t>
            </w:r>
          </w:p>
        </w:tc>
        <w:tc>
          <w:tcPr>
            <w:tcW w:type="dxa" w:w="6300"/>
            <w:shd w:fill="1F3864" w:val="clear"/>
            <w:tcMar>
              <w:top w:type="dxa" w:w="100"/>
              <w:left w:type="dxa" w:w="120"/>
              <w:bottom w:type="dxa" w:w="100"/>
              <w:right w:type="dxa" w:w="120"/>
            </w:tcMar>
          </w:tcPr>
          <w:p>
            <w:r>
              <w:rPr>
                <w:b/>
                <w:bCs/>
                <w:color w:val="FFFFFF"/>
              </w:rPr>
              <w:t xml:space="preserve">Descripción</w:t>
            </w:r>
          </w:p>
        </w:tc>
      </w:tr>
      <w:tr>
        <w:tc>
          <w:tcPr>
            <w:tcW w:type="dxa" w:w="3200"/>
            <w:tcMar>
              <w:top w:type="dxa" w:w="100"/>
              <w:left w:type="dxa" w:w="120"/>
              <w:bottom w:type="dxa" w:w="100"/>
              <w:right w:type="dxa" w:w="120"/>
            </w:tcMar>
          </w:tcPr>
          <w:p>
            <w:r>
              <w:rPr>
                <w:b w:val="false"/>
                <w:bCs w:val="false"/>
              </w:rPr>
              <w:t xml:space="preserve">Instalación del sistema</w:t>
            </w:r>
          </w:p>
        </w:tc>
        <w:tc>
          <w:tcPr>
            <w:tcW w:type="dxa" w:w="6300"/>
            <w:tcMar>
              <w:top w:type="dxa" w:w="100"/>
              <w:left w:type="dxa" w:w="120"/>
              <w:bottom w:type="dxa" w:w="100"/>
              <w:right w:type="dxa" w:w="120"/>
            </w:tcMar>
          </w:tcPr>
          <w:p>
            <w:r>
              <w:rPr>
                <w:b w:val="false"/>
                <w:bCs w:val="false"/>
              </w:rPr>
              <w:t xml:space="preserve">Cobertura interior, perímetro de aberturas y espacios exteriores, según el domicilio.</w:t>
            </w:r>
          </w:p>
        </w:tc>
      </w:tr>
      <w:tr>
        <w:tc>
          <w:tcPr>
            <w:tcW w:type="dxa" w:w="3200"/>
            <w:tcMar>
              <w:top w:type="dxa" w:w="100"/>
              <w:left w:type="dxa" w:w="120"/>
              <w:bottom w:type="dxa" w:w="100"/>
              <w:right w:type="dxa" w:w="120"/>
            </w:tcMar>
          </w:tcPr>
          <w:p>
            <w:r>
              <w:rPr>
                <w:b w:val="false"/>
                <w:bCs w:val="false"/>
              </w:rPr>
              <w:t xml:space="preserve">Monitoreo 24/7</w:t>
            </w:r>
          </w:p>
        </w:tc>
        <w:tc>
          <w:tcPr>
            <w:tcW w:type="dxa" w:w="6300"/>
            <w:tcMar>
              <w:top w:type="dxa" w:w="100"/>
              <w:left w:type="dxa" w:w="120"/>
              <w:bottom w:type="dxa" w:w="100"/>
              <w:right w:type="dxa" w:w="120"/>
            </w:tcMar>
          </w:tcPr>
          <w:p>
            <w:r>
              <w:rPr>
                <w:b w:val="false"/>
                <w:bCs w:val="false"/>
              </w:rPr>
              <w:t xml:space="preserve">Alarma sonora + activación de protocolo desde la central SP.</w:t>
            </w:r>
          </w:p>
        </w:tc>
      </w:tr>
      <w:tr>
        <w:tc>
          <w:tcPr>
            <w:tcW w:type="dxa" w:w="3200"/>
            <w:tcMar>
              <w:top w:type="dxa" w:w="100"/>
              <w:left w:type="dxa" w:w="120"/>
              <w:bottom w:type="dxa" w:w="100"/>
              <w:right w:type="dxa" w:w="120"/>
            </w:tcMar>
          </w:tcPr>
          <w:p>
            <w:r>
              <w:rPr>
                <w:b w:val="false"/>
                <w:bCs w:val="false"/>
              </w:rPr>
              <w:t xml:space="preserve">Notificación inmediata</w:t>
            </w:r>
          </w:p>
        </w:tc>
        <w:tc>
          <w:tcPr>
            <w:tcW w:type="dxa" w:w="6300"/>
            <w:tcMar>
              <w:top w:type="dxa" w:w="100"/>
              <w:left w:type="dxa" w:w="120"/>
              <w:bottom w:type="dxa" w:w="100"/>
              <w:right w:type="dxa" w:w="120"/>
            </w:tcMar>
          </w:tcPr>
          <w:p>
            <w:r>
              <w:rPr>
                <w:b w:val="false"/>
                <w:bCs w:val="false"/>
              </w:rPr>
              <w:t xml:space="preserve">Ante cualquier evento.</w:t>
            </w:r>
          </w:p>
        </w:tc>
      </w:tr>
      <w:tr>
        <w:tc>
          <w:tcPr>
            <w:tcW w:type="dxa" w:w="3200"/>
            <w:tcMar>
              <w:top w:type="dxa" w:w="100"/>
              <w:left w:type="dxa" w:w="120"/>
              <w:bottom w:type="dxa" w:w="100"/>
              <w:right w:type="dxa" w:w="120"/>
            </w:tcMar>
          </w:tcPr>
          <w:p>
            <w:r>
              <w:rPr>
                <w:b w:val="false"/>
                <w:bCs w:val="false"/>
              </w:rPr>
              <w:t xml:space="preserve">Control desde la App</w:t>
            </w:r>
          </w:p>
        </w:tc>
        <w:tc>
          <w:tcPr>
            <w:tcW w:type="dxa" w:w="6300"/>
            <w:tcMar>
              <w:top w:type="dxa" w:w="100"/>
              <w:left w:type="dxa" w:w="120"/>
              <w:bottom w:type="dxa" w:w="100"/>
              <w:right w:type="dxa" w:w="120"/>
            </w:tcMar>
          </w:tcPr>
          <w:p>
            <w:r>
              <w:rPr>
                <w:b w:val="false"/>
                <w:bCs w:val="false"/>
              </w:rPr>
              <w:t xml:space="preserve">Armado remoto, acceso a cámaras y notificaciones.</w:t>
            </w:r>
          </w:p>
        </w:tc>
      </w:tr>
      <w:tr>
        <w:tc>
          <w:tcPr>
            <w:tcW w:type="dxa" w:w="3200"/>
            <w:tcMar>
              <w:top w:type="dxa" w:w="100"/>
              <w:left w:type="dxa" w:w="120"/>
              <w:bottom w:type="dxa" w:w="100"/>
              <w:right w:type="dxa" w:w="120"/>
            </w:tcMar>
          </w:tcPr>
          <w:p>
            <w:r>
              <w:rPr>
                <w:b w:val="false"/>
                <w:bCs w:val="false"/>
              </w:rPr>
              <w:t xml:space="preserve">Botón de pánico silencioso</w:t>
            </w:r>
          </w:p>
        </w:tc>
        <w:tc>
          <w:tcPr>
            <w:tcW w:type="dxa" w:w="6300"/>
            <w:tcMar>
              <w:top w:type="dxa" w:w="100"/>
              <w:left w:type="dxa" w:w="120"/>
              <w:bottom w:type="dxa" w:w="100"/>
              <w:right w:type="dxa" w:w="120"/>
            </w:tcMar>
          </w:tcPr>
          <w:p>
            <w:r>
              <w:rPr>
                <w:b w:val="false"/>
                <w:bCs w:val="false"/>
              </w:rPr>
              <w:t xml:space="preserve">Pedir ayuda sin exponerse, ideal ante situaciones de riesgo.</w:t>
            </w:r>
          </w:p>
        </w:tc>
      </w:tr>
      <w:tr>
        <w:tc>
          <w:tcPr>
            <w:tcW w:type="dxa" w:w="3200"/>
            <w:tcMar>
              <w:top w:type="dxa" w:w="100"/>
              <w:left w:type="dxa" w:w="120"/>
              <w:bottom w:type="dxa" w:w="100"/>
              <w:right w:type="dxa" w:w="120"/>
            </w:tcMar>
          </w:tcPr>
          <w:p>
            <w:r>
              <w:rPr>
                <w:b w:val="false"/>
                <w:bCs w:val="false"/>
              </w:rPr>
              <w:t xml:space="preserve">Móvil de Acuda</w:t>
            </w:r>
          </w:p>
        </w:tc>
        <w:tc>
          <w:tcPr>
            <w:tcW w:type="dxa" w:w="6300"/>
            <w:tcMar>
              <w:top w:type="dxa" w:w="100"/>
              <w:left w:type="dxa" w:w="120"/>
              <w:bottom w:type="dxa" w:w="100"/>
              <w:right w:type="dxa" w:w="120"/>
            </w:tcMar>
          </w:tcPr>
          <w:p>
            <w:r>
              <w:rPr>
                <w:b w:val="false"/>
                <w:bCs w:val="false"/>
              </w:rPr>
              <w:t xml:space="preserve">Personal de SP se dirige y permanece en el lugar — [A confirmar zona de cobertura, ej. La Plata, Gonnet, City Bell y Villa Elisa].</w:t>
            </w:r>
          </w:p>
        </w:tc>
      </w:tr>
      <w:tr>
        <w:tc>
          <w:tcPr>
            <w:tcW w:type="dxa" w:w="3200"/>
            <w:tcMar>
              <w:top w:type="dxa" w:w="100"/>
              <w:left w:type="dxa" w:w="120"/>
              <w:bottom w:type="dxa" w:w="100"/>
              <w:right w:type="dxa" w:w="120"/>
            </w:tcMar>
          </w:tcPr>
          <w:p>
            <w:r>
              <w:rPr>
                <w:b w:val="false"/>
                <w:bCs w:val="false"/>
              </w:rPr>
              <w:t xml:space="preserve">Informes y avisos automáticos</w:t>
            </w:r>
          </w:p>
        </w:tc>
        <w:tc>
          <w:tcPr>
            <w:tcW w:type="dxa" w:w="6300"/>
            <w:tcMar>
              <w:top w:type="dxa" w:w="100"/>
              <w:left w:type="dxa" w:w="120"/>
              <w:bottom w:type="dxa" w:w="100"/>
              <w:right w:type="dxa" w:w="120"/>
            </w:tcMar>
          </w:tcPr>
          <w:p>
            <w:r>
              <w:rPr>
                <w:b w:val="false"/>
                <w:bCs w:val="false"/>
              </w:rPr>
              <w:t xml:space="preserve">Reporte para control interno del uso del sistema y horarios.</w:t>
            </w:r>
          </w:p>
        </w:tc>
      </w:tr>
      <w:tr>
        <w:tc>
          <w:tcPr>
            <w:tcW w:type="dxa" w:w="3200"/>
            <w:tcMar>
              <w:top w:type="dxa" w:w="100"/>
              <w:left w:type="dxa" w:w="120"/>
              <w:bottom w:type="dxa" w:w="100"/>
              <w:right w:type="dxa" w:w="120"/>
            </w:tcMar>
          </w:tcPr>
          <w:p>
            <w:r>
              <w:rPr>
                <w:b w:val="false"/>
                <w:bCs w:val="false"/>
              </w:rPr>
              <w:t xml:space="preserve">Aviso ante corte de luz</w:t>
            </w:r>
          </w:p>
        </w:tc>
        <w:tc>
          <w:tcPr>
            <w:tcW w:type="dxa" w:w="6300"/>
            <w:tcMar>
              <w:top w:type="dxa" w:w="100"/>
              <w:left w:type="dxa" w:w="120"/>
              <w:bottom w:type="dxa" w:w="100"/>
              <w:right w:type="dxa" w:w="120"/>
            </w:tcMar>
          </w:tcPr>
          <w:p>
            <w:r>
              <w:rPr>
                <w:b w:val="false"/>
                <w:bCs w:val="false"/>
              </w:rPr>
              <w:t xml:space="preserve">—</w:t>
            </w:r>
          </w:p>
        </w:tc>
      </w:tr>
    </w:tbl>
    <w:p>
      <w:pPr>
        <w:pStyle w:val="Heading1"/>
        <w:spacing w:after="160" w:before="320"/>
      </w:pPr>
      <w:r>
        <w:t xml:space="preserve">Componentes del equipo</w:t>
      </w:r>
    </w:p>
    <w:p>
      <w:pPr>
        <w:spacing w:after="160"/>
      </w:pPr>
      <w:r>
        <w:rPr>
          <w:b/>
          <w:bCs/>
        </w:rPr>
        <w:t xml:space="preserve">Período de referencia: 05/01/2026 al 17/03/2026 (fecha de creación del caso / fecha real de instalación). Base: 63 casos de instalación real de Hogar Seguro ("Alarma Nueva"), 438 líneas de artículos de la categoría "Equipamiento" — fuente: Datos_elementos.csv (25-ago-2026).</w:t>
      </w:r>
    </w:p>
    <w:p>
      <w:pPr>
        <w:spacing w:after="160"/>
      </w:pPr>
      <w:r>
        <w:rPr>
          <w:i/>
          <w:iCs/>
          <w:color w:val="595959"/>
        </w:rPr>
        <w:t xml:space="preserve">Ojo: el archivo fuente trae exactamente 1.000 filas totales y corta en seco a mitad de marzo (418 líneas en enero, 337 en febrero, 245 en marzo) — todo indica un export con tope de filas, no el histórico completo. Es decir, esta tabla queda fechada con precisión para el período que cubre, pero ese período podría no representar todo el volumen real de instalaciones — a confirmar re-exportando sin el límite de filas (o por rangos de fecha) cuando se pueda. Reemplaza la versión anterior de esta tabla (basada en 182 presupuestos ganados del script 549, sin fecha de referencia disponible).</w:t>
      </w:r>
    </w:p>
    <w:p>
      <w:pPr>
        <w:pStyle w:val="Heading2"/>
        <w:spacing w:after="120" w:before="240"/>
      </w:pPr>
      <w:r>
        <w:t xml:space="preserve">Componentes más frecuentes (de 63 casos de instalación real)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900"/>
        <w:gridCol w:w="2400"/>
        <w:gridCol w:w="1200"/>
      </w:tblGrid>
      <w:tr>
        <w:trPr>
          <w:tblHeader/>
        </w:trPr>
        <w:tc>
          <w:tcPr>
            <w:tcW w:type="dxa" w:w="5900"/>
            <w:shd w:fill="1F3864" w:val="clear"/>
            <w:tcMar>
              <w:top w:type="dxa" w:w="100"/>
              <w:left w:type="dxa" w:w="120"/>
              <w:bottom w:type="dxa" w:w="100"/>
              <w:right w:type="dxa" w:w="120"/>
            </w:tcMar>
          </w:tcPr>
          <w:p>
            <w:r>
              <w:rPr>
                <w:b/>
                <w:bCs/>
                <w:color w:val="FFFFFF"/>
              </w:rPr>
              <w:t xml:space="preserve">Componente</w:t>
            </w:r>
          </w:p>
        </w:tc>
        <w:tc>
          <w:tcPr>
            <w:tcW w:type="dxa" w:w="2400"/>
            <w:shd w:fill="1F3864" w:val="clear"/>
            <w:tcMar>
              <w:top w:type="dxa" w:w="100"/>
              <w:left w:type="dxa" w:w="120"/>
              <w:bottom w:type="dxa" w:w="100"/>
              <w:right w:type="dxa" w:w="120"/>
            </w:tcMar>
          </w:tcPr>
          <w:p>
            <w:r>
              <w:rPr>
                <w:b/>
                <w:bCs/>
                <w:color w:val="FFFFFF"/>
              </w:rPr>
              <w:t xml:space="preserve">Subcategoría</w:t>
            </w:r>
          </w:p>
        </w:tc>
        <w:tc>
          <w:tcPr>
            <w:tcW w:type="dxa" w:w="1200"/>
            <w:shd w:fill="1F3864" w:val="clear"/>
            <w:tcMar>
              <w:top w:type="dxa" w:w="100"/>
              <w:left w:type="dxa" w:w="120"/>
              <w:bottom w:type="dxa" w:w="100"/>
              <w:right w:type="dxa" w:w="120"/>
            </w:tcMar>
          </w:tcPr>
          <w:p>
            <w:r>
              <w:rPr>
                <w:b/>
                <w:bCs/>
                <w:color w:val="FFFFFF"/>
              </w:rPr>
              <w:t xml:space="preserve">Casos</w:t>
            </w:r>
          </w:p>
        </w:tc>
      </w:tr>
      <w:tr>
        <w:tc>
          <w:tcPr>
            <w:tcW w:type="dxa" w:w="5900"/>
            <w:tcMar>
              <w:top w:type="dxa" w:w="100"/>
              <w:left w:type="dxa" w:w="120"/>
              <w:bottom w:type="dxa" w:w="100"/>
              <w:right w:type="dxa" w:w="120"/>
            </w:tcMar>
          </w:tcPr>
          <w:p>
            <w:r>
              <w:rPr>
                <w:b/>
                <w:bCs/>
              </w:rPr>
              <w:t xml:space="preserve">MAG001 Magnético Común</w:t>
            </w:r>
          </w:p>
        </w:tc>
        <w:tc>
          <w:tcPr>
            <w:tcW w:type="dxa" w:w="2400"/>
            <w:tcMar>
              <w:top w:type="dxa" w:w="100"/>
              <w:left w:type="dxa" w:w="120"/>
              <w:bottom w:type="dxa" w:w="100"/>
              <w:right w:type="dxa" w:w="120"/>
            </w:tcMar>
          </w:tcPr>
          <w:p>
            <w:r>
              <w:rPr>
                <w:b w:val="false"/>
                <w:bCs w:val="false"/>
              </w:rPr>
              <w:t xml:space="preserve">Contacto Magnético</w:t>
            </w:r>
          </w:p>
        </w:tc>
        <w:tc>
          <w:tcPr>
            <w:tcW w:type="dxa" w:w="1200"/>
            <w:tcMar>
              <w:top w:type="dxa" w:w="100"/>
              <w:left w:type="dxa" w:w="120"/>
              <w:bottom w:type="dxa" w:w="100"/>
              <w:right w:type="dxa" w:w="120"/>
            </w:tcMar>
          </w:tcPr>
          <w:p>
            <w:r>
              <w:rPr>
                <w:b w:val="false"/>
                <w:bCs w:val="false"/>
              </w:rPr>
              <w:t xml:space="preserve">36</w:t>
            </w:r>
          </w:p>
        </w:tc>
      </w:tr>
      <w:tr>
        <w:tc>
          <w:tcPr>
            <w:tcW w:type="dxa" w:w="5900"/>
            <w:tcMar>
              <w:top w:type="dxa" w:w="100"/>
              <w:left w:type="dxa" w:w="120"/>
              <w:bottom w:type="dxa" w:w="100"/>
              <w:right w:type="dxa" w:w="120"/>
            </w:tcMar>
          </w:tcPr>
          <w:p>
            <w:r>
              <w:rPr>
                <w:b/>
                <w:bCs/>
              </w:rPr>
              <w:t xml:space="preserve">CEN015 Panel Ajax (HUB 4G) Ethernet y 4G x 100 disp.</w:t>
            </w:r>
          </w:p>
        </w:tc>
        <w:tc>
          <w:tcPr>
            <w:tcW w:type="dxa" w:w="2400"/>
            <w:tcMar>
              <w:top w:type="dxa" w:w="100"/>
              <w:left w:type="dxa" w:w="120"/>
              <w:bottom w:type="dxa" w:w="100"/>
              <w:right w:type="dxa" w:w="120"/>
            </w:tcMar>
          </w:tcPr>
          <w:p>
            <w:r>
              <w:rPr>
                <w:b w:val="false"/>
                <w:bCs w:val="false"/>
              </w:rPr>
              <w:t xml:space="preserve">Centrales de Alarma</w:t>
            </w:r>
          </w:p>
        </w:tc>
        <w:tc>
          <w:tcPr>
            <w:tcW w:type="dxa" w:w="1200"/>
            <w:tcMar>
              <w:top w:type="dxa" w:w="100"/>
              <w:left w:type="dxa" w:w="120"/>
              <w:bottom w:type="dxa" w:w="100"/>
              <w:right w:type="dxa" w:w="120"/>
            </w:tcMar>
          </w:tcPr>
          <w:p>
            <w:r>
              <w:rPr>
                <w:b w:val="false"/>
                <w:bCs w:val="false"/>
              </w:rPr>
              <w:t xml:space="preserve">32</w:t>
            </w:r>
          </w:p>
        </w:tc>
      </w:tr>
      <w:tr>
        <w:tc>
          <w:tcPr>
            <w:tcW w:type="dxa" w:w="5900"/>
            <w:tcMar>
              <w:top w:type="dxa" w:w="100"/>
              <w:left w:type="dxa" w:w="120"/>
              <w:bottom w:type="dxa" w:w="100"/>
              <w:right w:type="dxa" w:w="120"/>
            </w:tcMar>
          </w:tcPr>
          <w:p>
            <w:r>
              <w:rPr>
                <w:b/>
                <w:bCs/>
              </w:rPr>
              <w:t xml:space="preserve">INF014 Infrarrojo Anti-mascota Ajax</w:t>
            </w:r>
          </w:p>
        </w:tc>
        <w:tc>
          <w:tcPr>
            <w:tcW w:type="dxa" w:w="2400"/>
            <w:tcMar>
              <w:top w:type="dxa" w:w="100"/>
              <w:left w:type="dxa" w:w="120"/>
              <w:bottom w:type="dxa" w:w="100"/>
              <w:right w:type="dxa" w:w="120"/>
            </w:tcMar>
          </w:tcPr>
          <w:p>
            <w:r>
              <w:rPr>
                <w:b w:val="false"/>
                <w:bCs w:val="false"/>
              </w:rPr>
              <w:t xml:space="preserve">Sensor Movimiento</w:t>
            </w:r>
          </w:p>
        </w:tc>
        <w:tc>
          <w:tcPr>
            <w:tcW w:type="dxa" w:w="1200"/>
            <w:tcMar>
              <w:top w:type="dxa" w:w="100"/>
              <w:left w:type="dxa" w:w="120"/>
              <w:bottom w:type="dxa" w:w="100"/>
              <w:right w:type="dxa" w:w="120"/>
            </w:tcMar>
          </w:tcPr>
          <w:p>
            <w:r>
              <w:rPr>
                <w:b w:val="false"/>
                <w:bCs w:val="false"/>
              </w:rPr>
              <w:t xml:space="preserve">30</w:t>
            </w:r>
          </w:p>
        </w:tc>
      </w:tr>
      <w:tr>
        <w:tc>
          <w:tcPr>
            <w:tcW w:type="dxa" w:w="5900"/>
            <w:tcMar>
              <w:top w:type="dxa" w:w="100"/>
              <w:left w:type="dxa" w:w="120"/>
              <w:bottom w:type="dxa" w:w="100"/>
              <w:right w:type="dxa" w:w="120"/>
            </w:tcMar>
          </w:tcPr>
          <w:p>
            <w:r>
              <w:rPr>
                <w:b/>
                <w:bCs/>
              </w:rPr>
              <w:t xml:space="preserve">SIR013 Sirena interior Ajax</w:t>
            </w:r>
          </w:p>
        </w:tc>
        <w:tc>
          <w:tcPr>
            <w:tcW w:type="dxa" w:w="2400"/>
            <w:tcMar>
              <w:top w:type="dxa" w:w="100"/>
              <w:left w:type="dxa" w:w="120"/>
              <w:bottom w:type="dxa" w:w="100"/>
              <w:right w:type="dxa" w:w="120"/>
            </w:tcMar>
          </w:tcPr>
          <w:p>
            <w:r>
              <w:rPr>
                <w:b w:val="false"/>
                <w:bCs w:val="false"/>
              </w:rPr>
              <w:t xml:space="preserve">Sirena</w:t>
            </w:r>
          </w:p>
        </w:tc>
        <w:tc>
          <w:tcPr>
            <w:tcW w:type="dxa" w:w="1200"/>
            <w:tcMar>
              <w:top w:type="dxa" w:w="100"/>
              <w:left w:type="dxa" w:w="120"/>
              <w:bottom w:type="dxa" w:w="100"/>
              <w:right w:type="dxa" w:w="120"/>
            </w:tcMar>
          </w:tcPr>
          <w:p>
            <w:r>
              <w:rPr>
                <w:b w:val="false"/>
                <w:bCs w:val="false"/>
              </w:rPr>
              <w:t xml:space="preserve">28</w:t>
            </w:r>
          </w:p>
        </w:tc>
      </w:tr>
      <w:tr>
        <w:tc>
          <w:tcPr>
            <w:tcW w:type="dxa" w:w="5900"/>
            <w:tcMar>
              <w:top w:type="dxa" w:w="100"/>
              <w:left w:type="dxa" w:w="120"/>
              <w:bottom w:type="dxa" w:w="100"/>
              <w:right w:type="dxa" w:w="120"/>
            </w:tcMar>
          </w:tcPr>
          <w:p>
            <w:r>
              <w:rPr>
                <w:b/>
                <w:bCs/>
              </w:rPr>
              <w:t xml:space="preserve">SIR014 Sirena exterior Ajax</w:t>
            </w:r>
          </w:p>
        </w:tc>
        <w:tc>
          <w:tcPr>
            <w:tcW w:type="dxa" w:w="2400"/>
            <w:tcMar>
              <w:top w:type="dxa" w:w="100"/>
              <w:left w:type="dxa" w:w="120"/>
              <w:bottom w:type="dxa" w:w="100"/>
              <w:right w:type="dxa" w:w="120"/>
            </w:tcMar>
          </w:tcPr>
          <w:p>
            <w:r>
              <w:rPr>
                <w:b w:val="false"/>
                <w:bCs w:val="false"/>
              </w:rPr>
              <w:t xml:space="preserve">Sirena</w:t>
            </w:r>
          </w:p>
        </w:tc>
        <w:tc>
          <w:tcPr>
            <w:tcW w:type="dxa" w:w="1200"/>
            <w:tcMar>
              <w:top w:type="dxa" w:w="100"/>
              <w:left w:type="dxa" w:w="120"/>
              <w:bottom w:type="dxa" w:w="100"/>
              <w:right w:type="dxa" w:w="120"/>
            </w:tcMar>
          </w:tcPr>
          <w:p>
            <w:r>
              <w:rPr>
                <w:b w:val="false"/>
                <w:bCs w:val="false"/>
              </w:rPr>
              <w:t xml:space="preserve">27</w:t>
            </w:r>
          </w:p>
        </w:tc>
      </w:tr>
      <w:tr>
        <w:tc>
          <w:tcPr>
            <w:tcW w:type="dxa" w:w="5900"/>
            <w:tcMar>
              <w:top w:type="dxa" w:w="100"/>
              <w:left w:type="dxa" w:w="120"/>
              <w:bottom w:type="dxa" w:w="100"/>
              <w:right w:type="dxa" w:w="120"/>
            </w:tcMar>
          </w:tcPr>
          <w:p>
            <w:r>
              <w:rPr>
                <w:b/>
                <w:bCs/>
              </w:rPr>
              <w:t xml:space="preserve">MAG004 Magnético Inalámbrico Ajax</w:t>
            </w:r>
          </w:p>
        </w:tc>
        <w:tc>
          <w:tcPr>
            <w:tcW w:type="dxa" w:w="2400"/>
            <w:tcMar>
              <w:top w:type="dxa" w:w="100"/>
              <w:left w:type="dxa" w:w="120"/>
              <w:bottom w:type="dxa" w:w="100"/>
              <w:right w:type="dxa" w:w="120"/>
            </w:tcMar>
          </w:tcPr>
          <w:p>
            <w:r>
              <w:rPr>
                <w:b w:val="false"/>
                <w:bCs w:val="false"/>
              </w:rPr>
              <w:t xml:space="preserve">Contacto Magnético</w:t>
            </w:r>
          </w:p>
        </w:tc>
        <w:tc>
          <w:tcPr>
            <w:tcW w:type="dxa" w:w="1200"/>
            <w:tcMar>
              <w:top w:type="dxa" w:w="100"/>
              <w:left w:type="dxa" w:w="120"/>
              <w:bottom w:type="dxa" w:w="100"/>
              <w:right w:type="dxa" w:w="120"/>
            </w:tcMar>
          </w:tcPr>
          <w:p>
            <w:r>
              <w:rPr>
                <w:b w:val="false"/>
                <w:bCs w:val="false"/>
              </w:rPr>
              <w:t xml:space="preserve">27</w:t>
            </w:r>
          </w:p>
        </w:tc>
      </w:tr>
      <w:tr>
        <w:tc>
          <w:tcPr>
            <w:tcW w:type="dxa" w:w="5900"/>
            <w:tcMar>
              <w:top w:type="dxa" w:w="100"/>
              <w:left w:type="dxa" w:w="120"/>
              <w:bottom w:type="dxa" w:w="100"/>
              <w:right w:type="dxa" w:w="120"/>
            </w:tcMar>
          </w:tcPr>
          <w:p>
            <w:r>
              <w:rPr>
                <w:b/>
                <w:bCs/>
              </w:rPr>
              <w:t xml:space="preserve">KIT-CTRAL24 Central Ajax + 2 MAG + 2 PIR + 1 SIR.INT + 2 C.REM</w:t>
            </w:r>
          </w:p>
        </w:tc>
        <w:tc>
          <w:tcPr>
            <w:tcW w:type="dxa" w:w="2400"/>
            <w:tcMar>
              <w:top w:type="dxa" w:w="100"/>
              <w:left w:type="dxa" w:w="120"/>
              <w:bottom w:type="dxa" w:w="100"/>
              <w:right w:type="dxa" w:w="120"/>
            </w:tcMar>
          </w:tcPr>
          <w:p>
            <w:r>
              <w:rPr>
                <w:b w:val="false"/>
                <w:bCs w:val="false"/>
              </w:rPr>
              <w:t xml:space="preserve">Kits</w:t>
            </w:r>
          </w:p>
        </w:tc>
        <w:tc>
          <w:tcPr>
            <w:tcW w:type="dxa" w:w="1200"/>
            <w:tcMar>
              <w:top w:type="dxa" w:w="100"/>
              <w:left w:type="dxa" w:w="120"/>
              <w:bottom w:type="dxa" w:w="100"/>
              <w:right w:type="dxa" w:w="120"/>
            </w:tcMar>
          </w:tcPr>
          <w:p>
            <w:r>
              <w:rPr>
                <w:b w:val="false"/>
                <w:bCs w:val="false"/>
              </w:rPr>
              <w:t xml:space="preserve">21</w:t>
            </w:r>
          </w:p>
        </w:tc>
      </w:tr>
      <w:tr>
        <w:tc>
          <w:tcPr>
            <w:tcW w:type="dxa" w:w="5900"/>
            <w:tcMar>
              <w:top w:type="dxa" w:w="100"/>
              <w:left w:type="dxa" w:w="120"/>
              <w:bottom w:type="dxa" w:w="100"/>
              <w:right w:type="dxa" w:w="120"/>
            </w:tcMar>
          </w:tcPr>
          <w:p>
            <w:r>
              <w:rPr>
                <w:b/>
                <w:bCs/>
              </w:rPr>
              <w:t xml:space="preserve">COM001 Comunicador 4G-MAX-T</w:t>
            </w:r>
          </w:p>
        </w:tc>
        <w:tc>
          <w:tcPr>
            <w:tcW w:type="dxa" w:w="2400"/>
            <w:tcMar>
              <w:top w:type="dxa" w:w="100"/>
              <w:left w:type="dxa" w:w="120"/>
              <w:bottom w:type="dxa" w:w="100"/>
              <w:right w:type="dxa" w:w="120"/>
            </w:tcMar>
          </w:tcPr>
          <w:p>
            <w:r>
              <w:rPr>
                <w:b w:val="false"/>
                <w:bCs w:val="false"/>
              </w:rPr>
              <w:t xml:space="preserve">Comunicador</w:t>
            </w:r>
          </w:p>
        </w:tc>
        <w:tc>
          <w:tcPr>
            <w:tcW w:type="dxa" w:w="1200"/>
            <w:tcMar>
              <w:top w:type="dxa" w:w="100"/>
              <w:left w:type="dxa" w:w="120"/>
              <w:bottom w:type="dxa" w:w="100"/>
              <w:right w:type="dxa" w:w="120"/>
            </w:tcMar>
          </w:tcPr>
          <w:p>
            <w:r>
              <w:rPr>
                <w:b w:val="false"/>
                <w:bCs w:val="false"/>
              </w:rPr>
              <w:t xml:space="preserve">14</w:t>
            </w:r>
          </w:p>
        </w:tc>
      </w:tr>
      <w:tr>
        <w:tc>
          <w:tcPr>
            <w:tcW w:type="dxa" w:w="5900"/>
            <w:tcMar>
              <w:top w:type="dxa" w:w="100"/>
              <w:left w:type="dxa" w:w="120"/>
              <w:bottom w:type="dxa" w:w="100"/>
              <w:right w:type="dxa" w:w="120"/>
            </w:tcMar>
          </w:tcPr>
          <w:p>
            <w:r>
              <w:rPr>
                <w:b/>
                <w:bCs/>
              </w:rPr>
              <w:t xml:space="preserve">INF018 Infrarrojo inalámbrico para exterior Ajax</w:t>
            </w:r>
          </w:p>
        </w:tc>
        <w:tc>
          <w:tcPr>
            <w:tcW w:type="dxa" w:w="2400"/>
            <w:tcMar>
              <w:top w:type="dxa" w:w="100"/>
              <w:left w:type="dxa" w:w="120"/>
              <w:bottom w:type="dxa" w:w="100"/>
              <w:right w:type="dxa" w:w="120"/>
            </w:tcMar>
          </w:tcPr>
          <w:p>
            <w:r>
              <w:rPr>
                <w:b w:val="false"/>
                <w:bCs w:val="false"/>
              </w:rPr>
              <w:t xml:space="preserve">Sensor Movimiento</w:t>
            </w:r>
          </w:p>
        </w:tc>
        <w:tc>
          <w:tcPr>
            <w:tcW w:type="dxa" w:w="1200"/>
            <w:tcMar>
              <w:top w:type="dxa" w:w="100"/>
              <w:left w:type="dxa" w:w="120"/>
              <w:bottom w:type="dxa" w:w="100"/>
              <w:right w:type="dxa" w:w="120"/>
            </w:tcMar>
          </w:tcPr>
          <w:p>
            <w:r>
              <w:rPr>
                <w:b w:val="false"/>
                <w:bCs w:val="false"/>
              </w:rPr>
              <w:t xml:space="preserve">12</w:t>
            </w:r>
          </w:p>
        </w:tc>
      </w:tr>
      <w:tr>
        <w:tc>
          <w:tcPr>
            <w:tcW w:type="dxa" w:w="5900"/>
            <w:tcMar>
              <w:top w:type="dxa" w:w="100"/>
              <w:left w:type="dxa" w:w="120"/>
              <w:bottom w:type="dxa" w:w="100"/>
              <w:right w:type="dxa" w:w="120"/>
            </w:tcMar>
          </w:tcPr>
          <w:p>
            <w:r>
              <w:rPr>
                <w:b/>
                <w:bCs/>
              </w:rPr>
              <w:t xml:space="preserve">INF001 Infrarrojo DSC LC-100</w:t>
            </w:r>
          </w:p>
        </w:tc>
        <w:tc>
          <w:tcPr>
            <w:tcW w:type="dxa" w:w="2400"/>
            <w:tcMar>
              <w:top w:type="dxa" w:w="100"/>
              <w:left w:type="dxa" w:w="120"/>
              <w:bottom w:type="dxa" w:w="100"/>
              <w:right w:type="dxa" w:w="120"/>
            </w:tcMar>
          </w:tcPr>
          <w:p>
            <w:r>
              <w:rPr>
                <w:b w:val="false"/>
                <w:bCs w:val="false"/>
              </w:rPr>
              <w:t xml:space="preserve">Sensor Movimiento</w:t>
            </w:r>
          </w:p>
        </w:tc>
        <w:tc>
          <w:tcPr>
            <w:tcW w:type="dxa" w:w="1200"/>
            <w:tcMar>
              <w:top w:type="dxa" w:w="100"/>
              <w:left w:type="dxa" w:w="120"/>
              <w:bottom w:type="dxa" w:w="100"/>
              <w:right w:type="dxa" w:w="120"/>
            </w:tcMar>
          </w:tcPr>
          <w:p>
            <w:r>
              <w:rPr>
                <w:b w:val="false"/>
                <w:bCs w:val="false"/>
              </w:rPr>
              <w:t xml:space="preserve">11</w:t>
            </w:r>
          </w:p>
        </w:tc>
      </w:tr>
      <w:tr>
        <w:tc>
          <w:tcPr>
            <w:tcW w:type="dxa" w:w="5900"/>
            <w:tcMar>
              <w:top w:type="dxa" w:w="100"/>
              <w:left w:type="dxa" w:w="120"/>
              <w:bottom w:type="dxa" w:w="100"/>
              <w:right w:type="dxa" w:w="120"/>
            </w:tcMar>
          </w:tcPr>
          <w:p>
            <w:r>
              <w:rPr>
                <w:b/>
                <w:bCs/>
              </w:rPr>
              <w:t xml:space="preserve">CEN003 Central Titanium PC732T</w:t>
            </w:r>
          </w:p>
        </w:tc>
        <w:tc>
          <w:tcPr>
            <w:tcW w:type="dxa" w:w="2400"/>
            <w:tcMar>
              <w:top w:type="dxa" w:w="100"/>
              <w:left w:type="dxa" w:w="120"/>
              <w:bottom w:type="dxa" w:w="100"/>
              <w:right w:type="dxa" w:w="120"/>
            </w:tcMar>
          </w:tcPr>
          <w:p>
            <w:r>
              <w:rPr>
                <w:b w:val="false"/>
                <w:bCs w:val="false"/>
              </w:rPr>
              <w:t xml:space="preserve">Centrales de Alarma</w:t>
            </w:r>
          </w:p>
        </w:tc>
        <w:tc>
          <w:tcPr>
            <w:tcW w:type="dxa" w:w="1200"/>
            <w:tcMar>
              <w:top w:type="dxa" w:w="100"/>
              <w:left w:type="dxa" w:w="120"/>
              <w:bottom w:type="dxa" w:w="100"/>
              <w:right w:type="dxa" w:w="120"/>
            </w:tcMar>
          </w:tcPr>
          <w:p>
            <w:r>
              <w:rPr>
                <w:b w:val="false"/>
                <w:bCs w:val="false"/>
              </w:rPr>
              <w:t xml:space="preserve">10</w:t>
            </w:r>
          </w:p>
        </w:tc>
      </w:tr>
      <w:tr>
        <w:tc>
          <w:tcPr>
            <w:tcW w:type="dxa" w:w="5900"/>
            <w:tcMar>
              <w:top w:type="dxa" w:w="100"/>
              <w:left w:type="dxa" w:w="120"/>
              <w:bottom w:type="dxa" w:w="100"/>
              <w:right w:type="dxa" w:w="120"/>
            </w:tcMar>
          </w:tcPr>
          <w:p>
            <w:r>
              <w:rPr>
                <w:b/>
                <w:bCs/>
              </w:rPr>
              <w:t xml:space="preserve">TEC002 Teclado LCD732RF p/ Titanium</w:t>
            </w:r>
          </w:p>
        </w:tc>
        <w:tc>
          <w:tcPr>
            <w:tcW w:type="dxa" w:w="2400"/>
            <w:tcMar>
              <w:top w:type="dxa" w:w="100"/>
              <w:left w:type="dxa" w:w="120"/>
              <w:bottom w:type="dxa" w:w="100"/>
              <w:right w:type="dxa" w:w="120"/>
            </w:tcMar>
          </w:tcPr>
          <w:p>
            <w:r>
              <w:rPr>
                <w:b w:val="false"/>
                <w:bCs w:val="false"/>
              </w:rPr>
              <w:t xml:space="preserve">Teclado Alarma</w:t>
            </w:r>
          </w:p>
        </w:tc>
        <w:tc>
          <w:tcPr>
            <w:tcW w:type="dxa" w:w="1200"/>
            <w:tcMar>
              <w:top w:type="dxa" w:w="100"/>
              <w:left w:type="dxa" w:w="120"/>
              <w:bottom w:type="dxa" w:w="100"/>
              <w:right w:type="dxa" w:w="120"/>
            </w:tcMar>
          </w:tcPr>
          <w:p>
            <w:r>
              <w:rPr>
                <w:b w:val="false"/>
                <w:bCs w:val="false"/>
              </w:rPr>
              <w:t xml:space="preserve">10</w:t>
            </w:r>
          </w:p>
        </w:tc>
      </w:tr>
    </w:tbl>
    <w:p>
      <w:pPr>
        <w:spacing w:after="160"/>
      </w:pPr>
      <w:r>
        <w:rPr>
          <w:i/>
          <w:iCs/>
          <w:color w:val="595959"/>
        </w:rPr>
        <w:t xml:space="preserve">"Casos" = cantidad de casos de instalación (de 63) en los que aparece ese componente — un mismo caso puede incluir varios componentes. Línea Ajax dominante en este período (a diferencia del reparto Hikvision AXPRO / Ajax que mostraba la base anterior de presupuestos) — a confirmar si refleja un cambio real de mix de producto o es un efecto del recorte de período. Hay otros 47 artículos distintos fuera del top 12, cada uno presente en 5 casos o menos.</w:t>
      </w:r>
    </w:p>
    <w:p>
      <w:pPr>
        <w:pStyle w:val="Heading1"/>
        <w:spacing w:after="160" w:before="320"/>
      </w:pPr>
      <w:r>
        <w:t xml:space="preserve">Procesos y áreas involucradas</w:t>
      </w:r>
    </w:p>
    <w:p>
      <w:pPr>
        <w:pStyle w:val="Heading2"/>
        <w:spacing w:after="120" w:before="240"/>
      </w:pPr>
      <w:r>
        <w:t xml:space="preserve">Ventas</w:t>
      </w:r>
    </w:p>
    <w:p>
      <w:pPr>
        <w:pStyle w:val="ListParagraph"/>
        <w:numPr>
          <w:ilvl w:val="0"/>
          <w:numId w:val="2"/>
        </w:numPr>
        <w:spacing w:after="80"/>
      </w:pPr>
      <w:r>
        <w:t xml:space="preserve">Tipo de Proyecto en Netsuite: 'Alarma Nueva' — categoría con mayor volumen del sistema: 588 presupuestos en el período analizado, con una tasa de cierre del 31% (182 ganados).</w:t>
      </w:r>
    </w:p>
    <w:p>
      <w:pPr>
        <w:pStyle w:val="ListParagraph"/>
        <w:numPr>
          <w:ilvl w:val="0"/>
          <w:numId w:val="2"/>
        </w:numPr>
        <w:spacing w:after="80"/>
      </w:pPr>
      <w:r>
        <w:t xml:space="preserve">[A completar: pasos de carga de oportunidad, presupuesto, firma de contrato si aplica].</w:t>
      </w:r>
    </w:p>
    <w:p>
      <w:pPr>
        <w:pStyle w:val="Heading2"/>
        <w:spacing w:after="120" w:before="240"/>
      </w:pPr>
      <w:r>
        <w:t xml:space="preserve">Instalaciones</w:t>
      </w:r>
    </w:p>
    <w:p>
      <w:pPr>
        <w:pStyle w:val="ListParagraph"/>
        <w:numPr>
          <w:ilvl w:val="0"/>
          <w:numId w:val="2"/>
        </w:numPr>
        <w:spacing w:after="80"/>
      </w:pPr>
      <w:r>
        <w:t xml:space="preserve">Asignación de mano de obra — predominan 2 técnicos: 89% de los casos reales de instalación (338 de 379, script 452) — [A completar: criterio para asignar 1 vs 2 técnicos].</w:t>
      </w:r>
    </w:p>
    <w:p>
      <w:pPr>
        <w:pStyle w:val="ListParagraph"/>
        <w:numPr>
          <w:ilvl w:val="0"/>
          <w:numId w:val="2"/>
        </w:numPr>
        <w:spacing w:after="80"/>
      </w:pPr>
      <w:r>
        <w:t xml:space="preserve">[A completar: checklist de instalación, alta en app, cierre de OV en Netsuite].</w:t>
      </w:r>
    </w:p>
    <w:p>
      <w:pPr>
        <w:pStyle w:val="Heading2"/>
        <w:spacing w:after="120" w:before="240"/>
      </w:pPr>
      <w:r>
        <w:t xml:space="preserve">Netsuite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00"/>
      </w:tblGrid>
      <w:tr>
        <w:trPr>
          <w:tblHeader/>
        </w:trPr>
        <w:tc>
          <w:tcPr>
            <w:tcW w:type="dxa" w:w="2600"/>
            <w:shd w:fill="1F3864" w:val="clear"/>
            <w:tcMar>
              <w:top w:type="dxa" w:w="100"/>
              <w:left w:type="dxa" w:w="120"/>
              <w:bottom w:type="dxa" w:w="100"/>
              <w:right w:type="dxa" w:w="120"/>
            </w:tcMar>
          </w:tcPr>
          <w:p>
            <w:r>
              <w:rPr>
                <w:b/>
                <w:bCs/>
                <w:color w:val="FFFFFF"/>
              </w:rPr>
              <w:t xml:space="preserve">Artículo</w:t>
            </w:r>
          </w:p>
        </w:tc>
        <w:tc>
          <w:tcPr>
            <w:tcW w:type="dxa" w:w="1400"/>
            <w:shd w:fill="1F3864" w:val="clear"/>
            <w:tcMar>
              <w:top w:type="dxa" w:w="100"/>
              <w:left w:type="dxa" w:w="120"/>
              <w:bottom w:type="dxa" w:w="100"/>
              <w:right w:type="dxa" w:w="120"/>
            </w:tcMar>
          </w:tcPr>
          <w:p>
            <w:r>
              <w:rPr>
                <w:b/>
                <w:bCs/>
                <w:color w:val="FFFFFF"/>
              </w:rPr>
              <w:t xml:space="preserve">Código</w:t>
            </w:r>
          </w:p>
        </w:tc>
        <w:tc>
          <w:tcPr>
            <w:tcW w:type="dxa" w:w="5500"/>
            <w:shd w:fill="1F3864" w:val="clear"/>
            <w:tcMar>
              <w:top w:type="dxa" w:w="100"/>
              <w:left w:type="dxa" w:w="120"/>
              <w:bottom w:type="dxa" w:w="100"/>
              <w:right w:type="dxa" w:w="120"/>
            </w:tcMar>
          </w:tcPr>
          <w:p>
            <w:r>
              <w:rPr>
                <w:b/>
                <w:bCs/>
                <w:color w:val="FFFFFF"/>
              </w:rPr>
              <w:t xml:space="preserve">Descripción</w:t>
            </w:r>
          </w:p>
        </w:tc>
      </w:tr>
      <w:tr>
        <w:tc>
          <w:tcPr>
            <w:tcW w:type="dxa" w:w="2600"/>
            <w:tcMar>
              <w:top w:type="dxa" w:w="100"/>
              <w:left w:type="dxa" w:w="120"/>
              <w:bottom w:type="dxa" w:w="100"/>
              <w:right w:type="dxa" w:w="120"/>
            </w:tcMar>
          </w:tcPr>
          <w:p>
            <w:r>
              <w:rPr>
                <w:b/>
                <w:bCs/>
              </w:rPr>
              <w:t xml:space="preserve">Alarma Nueva (Tipo de Proyecto)</w:t>
            </w:r>
          </w:p>
        </w:tc>
        <w:tc>
          <w:tcPr>
            <w:tcW w:type="dxa" w:w="1400"/>
            <w:tcMar>
              <w:top w:type="dxa" w:w="100"/>
              <w:left w:type="dxa" w:w="120"/>
              <w:bottom w:type="dxa" w:w="100"/>
              <w:right w:type="dxa" w:w="120"/>
            </w:tcMar>
          </w:tcPr>
          <w:p>
            <w:r>
              <w:rPr>
                <w:b w:val="false"/>
                <w:bCs w:val="false"/>
              </w:rPr>
              <w:t xml:space="preserve">—</w:t>
            </w:r>
          </w:p>
        </w:tc>
        <w:tc>
          <w:tcPr>
            <w:tcW w:type="dxa" w:w="5500"/>
            <w:tcMar>
              <w:top w:type="dxa" w:w="100"/>
              <w:left w:type="dxa" w:w="120"/>
              <w:bottom w:type="dxa" w:w="100"/>
              <w:right w:type="dxa" w:w="120"/>
            </w:tcMar>
          </w:tcPr>
          <w:p>
            <w:r>
              <w:rPr>
                <w:b w:val="false"/>
                <w:bCs w:val="false"/>
              </w:rPr>
              <w:t xml:space="preserve">Confirmado como categoría de mayor volumen — artículos específicos por línea aún sin formalizar como kit.</w:t>
            </w:r>
          </w:p>
        </w:tc>
      </w:tr>
    </w:tbl>
    <w:p>
      <w:pPr>
        <w:pStyle w:val="Heading1"/>
        <w:spacing w:after="160" w:before="320"/>
      </w:pPr>
      <w:r>
        <w:t xml:space="preserve">Contrato</w:t>
      </w:r>
    </w:p>
    <w:p>
      <w:pPr>
        <w:spacing w:after="160"/>
      </w:pPr>
      <w:r>
        <w:rPr>
          <w:i/>
          <w:iCs/>
          <w:color w:val="595959"/>
        </w:rPr>
        <w:t xml:space="preserve">[A completar]</w:t>
      </w:r>
    </w:p>
    <w:p>
      <w:pPr>
        <w:pStyle w:val="Heading1"/>
        <w:spacing w:after="160" w:before="320"/>
      </w:pPr>
      <w:r>
        <w:t xml:space="preserve">Validación de Servicio Técnico</w:t>
      </w:r>
    </w:p>
    <w:p>
      <w:pPr>
        <w:spacing w:after="160"/>
      </w:pPr>
      <w:r>
        <w:rPr>
          <w:i/>
          <w:iCs/>
          <w:color w:val="595959"/>
        </w:rPr>
        <w:t xml:space="preserve">[A completar]</w:t>
      </w:r>
    </w:p>
    <w:p>
      <w:pPr>
        <w:pStyle w:val="Heading1"/>
        <w:spacing w:after="160" w:before="320"/>
      </w:pPr>
      <w:r>
        <w:t xml:space="preserve">Pendientes para cerrar la ficha</w:t>
      </w:r>
    </w:p>
    <w:p>
      <w:pPr>
        <w:pStyle w:val="ListParagraph"/>
        <w:numPr>
          <w:ilvl w:val="0"/>
          <w:numId w:val="2"/>
        </w:numPr>
        <w:spacing w:after="80"/>
      </w:pPr>
      <w:r>
        <w:t xml:space="preserve">Área responsable del servicio.</w:t>
      </w:r>
    </w:p>
    <w:p>
      <w:pPr>
        <w:pStyle w:val="ListParagraph"/>
        <w:numPr>
          <w:ilvl w:val="0"/>
          <w:numId w:val="2"/>
        </w:numPr>
        <w:spacing w:after="80"/>
      </w:pPr>
      <w:r>
        <w:t xml:space="preserve">Plazo de contrato.</w:t>
      </w:r>
    </w:p>
    <w:p>
      <w:pPr>
        <w:pStyle w:val="ListParagraph"/>
        <w:numPr>
          <w:ilvl w:val="0"/>
          <w:numId w:val="2"/>
        </w:numPr>
        <w:spacing w:after="80"/>
      </w:pPr>
      <w:r>
        <w:t xml:space="preserve">Plataforma estándar recomendada (Hik-Connect vs. Ajax Security).</w:t>
      </w:r>
    </w:p>
    <w:p>
      <w:pPr>
        <w:pStyle w:val="ListParagraph"/>
        <w:numPr>
          <w:ilvl w:val="0"/>
          <w:numId w:val="2"/>
        </w:numPr>
        <w:spacing w:after="80"/>
      </w:pPr>
      <w:r>
        <w:t xml:space="preserve">Zona de cobertura del cliente objetivo y del Móvil de Acuda.</w:t>
      </w:r>
    </w:p>
    <w:p>
      <w:pPr>
        <w:pStyle w:val="ListParagraph"/>
        <w:numPr>
          <w:ilvl w:val="0"/>
          <w:numId w:val="2"/>
        </w:numPr>
        <w:spacing w:after="80"/>
      </w:pPr>
      <w:r>
        <w:t xml:space="preserve">Cargo de instalación (monto y política de bonificación).</w:t>
      </w:r>
    </w:p>
    <w:p>
      <w:pPr>
        <w:pStyle w:val="ListParagraph"/>
        <w:numPr>
          <w:ilvl w:val="0"/>
          <w:numId w:val="2"/>
        </w:numPr>
        <w:spacing w:after="80"/>
      </w:pPr>
      <w:r>
        <w:t xml:space="preserve">Confirmar abono vigente (ABO-10 vs. ABO-16) y si son alternativos.</w:t>
      </w:r>
    </w:p>
    <w:p>
      <w:pPr>
        <w:pStyle w:val="ListParagraph"/>
        <w:numPr>
          <w:ilvl w:val="0"/>
          <w:numId w:val="2"/>
        </w:numPr>
        <w:spacing w:after="80"/>
      </w:pPr>
      <w:r>
        <w:t xml:space="preserve">Terminología de la ficha.</w:t>
      </w:r>
    </w:p>
    <w:p>
      <w:pPr>
        <w:pStyle w:val="ListParagraph"/>
        <w:numPr>
          <w:ilvl w:val="0"/>
          <w:numId w:val="2"/>
        </w:numPr>
        <w:spacing w:after="80"/>
      </w:pPr>
      <w:r>
        <w:t xml:space="preserve">Estructura de Preguntas Frecuentes (adaptar de Comercio Seguro).</w:t>
      </w:r>
    </w:p>
    <w:p>
      <w:pPr>
        <w:pStyle w:val="ListParagraph"/>
        <w:numPr>
          <w:ilvl w:val="0"/>
          <w:numId w:val="2"/>
        </w:numPr>
        <w:spacing w:after="80"/>
      </w:pPr>
      <w:r>
        <w:t xml:space="preserve">Todos los precios de la sección Condiciones comerciales (venta equipo x2 líneas, instalación, abono, adicional 4G).</w:t>
      </w:r>
    </w:p>
    <w:p>
      <w:pPr>
        <w:pStyle w:val="ListParagraph"/>
        <w:numPr>
          <w:ilvl w:val="0"/>
          <w:numId w:val="2"/>
        </w:numPr>
        <w:spacing w:after="80"/>
      </w:pPr>
      <w:r>
        <w:t xml:space="preserve">Condiciones de ajuste de precios y de cancelación anticipada.</w:t>
      </w:r>
    </w:p>
    <w:p>
      <w:pPr>
        <w:pStyle w:val="ListParagraph"/>
        <w:numPr>
          <w:ilvl w:val="0"/>
          <w:numId w:val="2"/>
        </w:numPr>
        <w:spacing w:after="80"/>
      </w:pPr>
      <w:r>
        <w:t xml:space="preserve">Comparación con la competencia (901, Prosegur, ADT).</w:t>
      </w:r>
    </w:p>
    <w:p>
      <w:pPr>
        <w:pStyle w:val="ListParagraph"/>
        <w:numPr>
          <w:ilvl w:val="0"/>
          <w:numId w:val="2"/>
        </w:numPr>
        <w:spacing w:after="80"/>
      </w:pPr>
      <w:r>
        <w:t xml:space="preserve">Requerimientos para el cliente.</w:t>
      </w:r>
    </w:p>
    <w:p>
      <w:pPr>
        <w:pStyle w:val="ListParagraph"/>
        <w:numPr>
          <w:ilvl w:val="0"/>
          <w:numId w:val="2"/>
        </w:numPr>
        <w:spacing w:after="80"/>
      </w:pPr>
      <w:r>
        <w:t xml:space="preserve">Material de marketing (link a la carpeta).</w:t>
      </w:r>
    </w:p>
    <w:p>
      <w:pPr>
        <w:pStyle w:val="ListParagraph"/>
        <w:numPr>
          <w:ilvl w:val="0"/>
          <w:numId w:val="2"/>
        </w:numPr>
        <w:spacing w:after="80"/>
      </w:pPr>
      <w:r>
        <w:t xml:space="preserve">Pasos detallados de los procesos de Ventas e Instalaciones.</w:t>
      </w:r>
    </w:p>
    <w:p>
      <w:pPr>
        <w:pStyle w:val="ListParagraph"/>
        <w:numPr>
          <w:ilvl w:val="0"/>
          <w:numId w:val="2"/>
        </w:numPr>
        <w:spacing w:after="80"/>
      </w:pPr>
      <w:r>
        <w:t xml:space="preserve">Documento/link del contrato de venta.</w:t>
      </w:r>
    </w:p>
    <w:p>
      <w:pPr>
        <w:pStyle w:val="ListParagraph"/>
        <w:numPr>
          <w:ilvl w:val="0"/>
          <w:numId w:val="2"/>
        </w:numPr>
        <w:spacing w:after="80"/>
      </w:pPr>
      <w:r>
        <w:t xml:space="preserve">Validación de Servicio Técnico sobre mantenimiento del equipamiento.</w:t>
      </w:r>
    </w:p>
    <w:p>
      <w:pPr>
        <w:pStyle w:val="ListParagraph"/>
        <w:numPr>
          <w:ilvl w:val="0"/>
          <w:numId w:val="2"/>
        </w:numPr>
        <w:spacing w:after="80"/>
      </w:pPr>
      <w:r>
        <w:t xml:space="preserve">Re-exportar Datos_elementos.csv sin tope de filas (o por rangos de fecha) para confirmar si el mix de componentes ene-mar 2026 representa todo el histórico o es un efecto del recorte de período.</w:t>
      </w:r>
    </w:p>
    <w:p>
      <w:pPr>
        <w:pStyle w:val="ListParagraph"/>
        <w:numPr>
          <w:ilvl w:val="0"/>
          <w:numId w:val="2"/>
        </w:numPr>
        <w:spacing w:after="80"/>
      </w:pPr>
      <w:r>
        <w:t xml:space="preserve">Artículo en Netsuite (checklist en "En progreso").</w:t>
      </w:r>
    </w:p>
    <w:p>
      <w:pPr>
        <w:pStyle w:val="ListParagraph"/>
        <w:numPr>
          <w:ilvl w:val="0"/>
          <w:numId w:val="2"/>
        </w:numPr>
        <w:spacing w:after="80"/>
      </w:pPr>
      <w:r>
        <w:t xml:space="preserve">Completar la tabla de aprobación por área (responsable, comentarios, fecha 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2026-08-25T18:55:56.927Z</dcterms:created>
  <dcterms:modified xsi:type="dcterms:W3CDTF">2026-08-25T18:55:56.942Z</dcterms:modified>
</cp:coreProperties>
</file>

<file path=docProps/custom.xml><?xml version="1.0" encoding="utf-8"?>
<Properties xmlns="http://schemas.openxmlformats.org/officeDocument/2006/custom-properties" xmlns:vt="http://schemas.openxmlformats.org/officeDocument/2006/docPropsVTypes"/>
</file>