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2A44"/>
          <w:sz w:val="40"/>
        </w:rPr>
        <w:t>Ficha del proceso: Nuevos clientes con alarmas y/o cámaras</w:t>
      </w:r>
    </w:p>
    <w:p>
      <w:pPr>
        <w:spacing w:after="200"/>
      </w:pPr>
      <w:r>
        <w:rPr>
          <w:color w:val="595959"/>
          <w:sz w:val="22"/>
        </w:rPr>
        <w:t>SP Seguridad Privada · Procesos y Mejora Continua · v0.3 borrador · 19/10/2026</w:t>
      </w:r>
    </w:p>
    <w:p>
      <w:pPr>
        <w:keepNext/>
        <w:spacing w:before="240" w:after="80"/>
        <w:pBdr>
          <w:left w:val="single" w:sz="18" w:space="8" w:color="3B5B8C"/>
        </w:pBdr>
      </w:pPr>
      <w:r>
        <w:rPr>
          <w:b/>
          <w:color w:val="1F2A44"/>
          <w:sz w:val="26"/>
        </w:rPr>
        <w:t>Objetivo</w:t>
      </w:r>
    </w:p>
    <w:p>
      <w:r>
        <w:t>Convertir a un prospecto en un cliente activo y conforme: desde el primer contacto hasta el control de calidad posterior a la instalación.</w:t>
      </w:r>
    </w:p>
    <w:p>
      <w:pPr>
        <w:keepNext/>
        <w:spacing w:before="240" w:after="80"/>
        <w:pBdr>
          <w:left w:val="single" w:sz="18" w:space="8" w:color="3B5B8C"/>
        </w:pBdr>
      </w:pPr>
      <w:r>
        <w:rPr>
          <w:b/>
          <w:color w:val="1F2A44"/>
          <w:sz w:val="26"/>
        </w:rPr>
        <w:t>Alcance</w:t>
      </w:r>
    </w:p>
    <w:tbl>
      <w:tblPr>
        <w:tblW w:type="auto" w:w="0"/>
        <w:tblLook w:firstColumn="1" w:firstRow="1" w:lastColumn="0" w:lastRow="0" w:noHBand="0" w:noVBand="1" w:val="04A0"/>
        <w:jc w:val="center"/>
        <w:tblLayout w:type="fixed"/>
        <w:tblBorders>
          <w:top w:val="single" w:sz="4" w:color="D9DEE7"/>
          <w:left w:val="single" w:sz="4" w:color="D9DEE7"/>
          <w:bottom w:val="single" w:sz="4" w:color="D9DEE7"/>
          <w:right w:val="single" w:sz="4" w:color="D9DEE7"/>
          <w:insideH w:val="single" w:sz="4" w:color="D9DEE7"/>
          <w:insideV w:val="single" w:sz="4" w:color="D9DEE7"/>
        </w:tblBorders>
      </w:tblPr>
      <w:tblGrid>
        <w:gridCol w:w="2200"/>
        <w:gridCol w:w="7200"/>
      </w:tblGrid>
      <w:tr>
        <w:trPr>
          <w:tblHeader w:val="true"/>
        </w:trPr>
        <w:tc>
          <w:tcPr>
            <w:tcW w:type="dxa" w:w="4873"/>
            <w:tcW w:type="dxa" w:w="22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Aspecto</w:t>
            </w:r>
          </w:p>
        </w:tc>
        <w:tc>
          <w:tcPr>
            <w:tcW w:type="dxa" w:w="4873"/>
            <w:tcW w:type="dxa" w:w="72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Definición</w:t>
            </w:r>
          </w:p>
        </w:tc>
      </w:tr>
      <w:tr>
        <w:tc>
          <w:tcPr>
            <w:tcW w:type="dxa" w:w="4873"/>
            <w:tcW w:type="dxa" w:w="2200"/>
          </w:tcPr>
          <w:p>
            <w:pPr>
              <w:spacing w:after="20"/>
            </w:pPr>
            <w:r>
              <w:rPr>
                <w:b w:val="0"/>
                <w:sz w:val="20"/>
              </w:rPr>
              <w:t>Inicio</w:t>
            </w:r>
          </w:p>
        </w:tc>
        <w:tc>
          <w:tcPr>
            <w:tcW w:type="dxa" w:w="4873"/>
            <w:tcW w:type="dxa" w:w="7200"/>
          </w:tcPr>
          <w:p>
            <w:pPr>
              <w:spacing w:after="20"/>
            </w:pPr>
            <w:r>
              <w:rPr>
                <w:b w:val="0"/>
                <w:sz w:val="20"/>
              </w:rPr>
              <w:t>Primer contacto del prospecto (redes, WhatsApp o contacto directo con el vendedor).</w:t>
            </w:r>
          </w:p>
        </w:tc>
      </w:tr>
      <w:tr>
        <w:tc>
          <w:tcPr>
            <w:tcW w:type="dxa" w:w="4873"/>
            <w:tcW w:type="dxa" w:w="2200"/>
          </w:tcPr>
          <w:p>
            <w:pPr>
              <w:spacing w:after="20"/>
            </w:pPr>
            <w:r>
              <w:rPr>
                <w:b w:val="0"/>
                <w:sz w:val="20"/>
              </w:rPr>
              <w:t>Fin</w:t>
            </w:r>
          </w:p>
        </w:tc>
        <w:tc>
          <w:tcPr>
            <w:tcW w:type="dxa" w:w="4873"/>
            <w:tcW w:type="dxa" w:w="7200"/>
          </w:tcPr>
          <w:p>
            <w:pPr>
              <w:spacing w:after="20"/>
            </w:pPr>
            <w:r>
              <w:rPr>
                <w:b w:val="0"/>
                <w:sz w:val="20"/>
              </w:rPr>
              <w:t>Control de calidad de Posventa cerrado: cliente activo y conforme, o novedades derivadas al proceso que corresponde.</w:t>
            </w:r>
          </w:p>
        </w:tc>
      </w:tr>
      <w:tr>
        <w:tc>
          <w:tcPr>
            <w:tcW w:type="dxa" w:w="4873"/>
            <w:tcW w:type="dxa" w:w="2200"/>
          </w:tcPr>
          <w:p>
            <w:pPr>
              <w:spacing w:after="20"/>
            </w:pPr>
            <w:r>
              <w:rPr>
                <w:b w:val="0"/>
                <w:sz w:val="20"/>
              </w:rPr>
              <w:t>Incluye</w:t>
            </w:r>
          </w:p>
        </w:tc>
        <w:tc>
          <w:tcPr>
            <w:tcW w:type="dxa" w:w="4873"/>
            <w:tcW w:type="dxa" w:w="7200"/>
          </w:tcPr>
          <w:p>
            <w:pPr>
              <w:spacing w:after="20"/>
            </w:pPr>
            <w:r>
              <w:rPr>
                <w:b w:val="0"/>
                <w:sz w:val="20"/>
              </w:rPr>
              <w:t>Venta consultiva, consulta de stock al presupuestar, cobro y bienvenida, coordinación de la instalación, entrega de materiales al técnico, instalación, pendientes del acta y su escalación, control de calidad.</w:t>
            </w:r>
          </w:p>
        </w:tc>
      </w:tr>
      <w:tr>
        <w:tc>
          <w:tcPr>
            <w:tcW w:type="dxa" w:w="4873"/>
            <w:tcW w:type="dxa" w:w="2200"/>
          </w:tcPr>
          <w:p>
            <w:pPr>
              <w:spacing w:after="20"/>
            </w:pPr>
            <w:r>
              <w:rPr>
                <w:b w:val="0"/>
                <w:sz w:val="20"/>
              </w:rPr>
              <w:t>No incluye</w:t>
            </w:r>
          </w:p>
        </w:tc>
        <w:tc>
          <w:tcPr>
            <w:tcW w:type="dxa" w:w="4873"/>
            <w:tcW w:type="dxa" w:w="7200"/>
          </w:tcPr>
          <w:p>
            <w:pPr>
              <w:spacing w:after="20"/>
            </w:pPr>
            <w:r>
              <w:rPr>
                <w:b w:val="0"/>
                <w:sz w:val="20"/>
              </w:rPr>
              <w:t>El funcionamiento interno de Depósito; los procesos del ciclo de vida del cliente (mantenimiento, cobranza recurrente, bajas); Ampliaciones; las consultas del cliente posteriores al período de control de calidad.</w:t>
            </w:r>
          </w:p>
        </w:tc>
      </w:tr>
      <w:tr>
        <w:tc>
          <w:tcPr>
            <w:tcW w:type="dxa" w:w="4873"/>
            <w:tcW w:type="dxa" w:w="2200"/>
          </w:tcPr>
          <w:p>
            <w:pPr>
              <w:spacing w:after="20"/>
            </w:pPr>
            <w:r>
              <w:rPr>
                <w:b w:val="0"/>
                <w:sz w:val="20"/>
              </w:rPr>
              <w:t>Criterio de modelado</w:t>
            </w:r>
          </w:p>
        </w:tc>
        <w:tc>
          <w:tcPr>
            <w:tcW w:type="dxa" w:w="4873"/>
            <w:tcW w:type="dxa" w:w="7200"/>
          </w:tcPr>
          <w:p>
            <w:pPr>
              <w:spacing w:after="20"/>
            </w:pPr>
            <w:r>
              <w:rPr>
                <w:b w:val="0"/>
                <w:sz w:val="20"/>
              </w:rPr>
              <w:t>Se modela el circuito objetivo. Los desvíos de la operación actual se marcan como anotaciones en el BPMN.</w:t>
            </w:r>
          </w:p>
        </w:tc>
      </w:tr>
    </w:tbl>
    <w:p>
      <w:pPr>
        <w:spacing w:after="40"/>
      </w:pPr>
    </w:p>
    <w:p>
      <w:pPr>
        <w:keepNext/>
        <w:spacing w:before="240" w:after="80"/>
        <w:pBdr>
          <w:left w:val="single" w:sz="18" w:space="8" w:color="3B5B8C"/>
        </w:pBdr>
      </w:pPr>
      <w:r>
        <w:rPr>
          <w:b/>
          <w:color w:val="1F2A44"/>
          <w:sz w:val="26"/>
        </w:rPr>
        <w:t>Etapas</w:t>
      </w:r>
    </w:p>
    <w:p>
      <w:r>
        <w:rPr>
          <w:color w:val="595959"/>
        </w:rPr>
        <w:t>Al acotar el alcance y sumar la bienvenida a la etapa 7, el proceso pasa de 16 a 10 etapas. La numeración nueva se aplicó en la matriz de responsabilidades y en los BPMN el 19/10.</w:t>
      </w:r>
    </w:p>
    <w:tbl>
      <w:tblPr>
        <w:tblW w:type="auto" w:w="0"/>
        <w:tblLook w:firstColumn="1" w:firstRow="1" w:lastColumn="0" w:lastRow="0" w:noHBand="0" w:noVBand="1" w:val="04A0"/>
        <w:jc w:val="center"/>
        <w:tblLayout w:type="fixed"/>
        <w:tblBorders>
          <w:top w:val="single" w:sz="4" w:color="D9DEE7"/>
          <w:left w:val="single" w:sz="4" w:color="D9DEE7"/>
          <w:bottom w:val="single" w:sz="4" w:color="D9DEE7"/>
          <w:right w:val="single" w:sz="4" w:color="D9DEE7"/>
          <w:insideH w:val="single" w:sz="4" w:color="D9DEE7"/>
          <w:insideV w:val="single" w:sz="4" w:color="D9DEE7"/>
        </w:tblBorders>
      </w:tblPr>
      <w:tblGrid>
        <w:gridCol w:w="700"/>
        <w:gridCol w:w="1200"/>
        <w:gridCol w:w="5300"/>
        <w:gridCol w:w="2200"/>
      </w:tblGrid>
      <w:tr>
        <w:trPr>
          <w:tblHeader w:val="true"/>
        </w:trPr>
        <w:tc>
          <w:tcPr>
            <w:tcW w:type="dxa" w:w="2436"/>
            <w:tcW w:type="dxa" w:w="7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N°</w:t>
            </w:r>
          </w:p>
        </w:tc>
        <w:tc>
          <w:tcPr>
            <w:tcW w:type="dxa" w:w="2436"/>
            <w:tcW w:type="dxa" w:w="12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N° anterior</w:t>
            </w:r>
          </w:p>
        </w:tc>
        <w:tc>
          <w:tcPr>
            <w:tcW w:type="dxa" w:w="2436"/>
            <w:tcW w:type="dxa" w:w="53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436"/>
            <w:tcW w:type="dxa" w:w="22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Área responsable</w:t>
            </w:r>
          </w:p>
        </w:tc>
      </w:tr>
      <w:tr>
        <w:tc>
          <w:tcPr>
            <w:tcW w:type="dxa" w:w="2436"/>
            <w:tcW w:type="dxa" w:w="700"/>
          </w:tcPr>
          <w:p>
            <w:pPr>
              <w:spacing w:after="20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436"/>
            <w:tcW w:type="dxa" w:w="1200"/>
          </w:tcPr>
          <w:p>
            <w:pPr>
              <w:spacing w:after="20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436"/>
            <w:tcW w:type="dxa" w:w="5300"/>
          </w:tcPr>
          <w:p>
            <w:pPr>
              <w:spacing w:after="20"/>
            </w:pPr>
            <w:r>
              <w:rPr>
                <w:b w:val="0"/>
                <w:sz w:val="20"/>
              </w:rPr>
              <w:t>Primer contacto</w:t>
            </w:r>
          </w:p>
        </w:tc>
        <w:tc>
          <w:tcPr>
            <w:tcW w:type="dxa" w:w="2436"/>
            <w:tcW w:type="dxa" w:w="2200"/>
          </w:tcPr>
          <w:p>
            <w:pPr>
              <w:spacing w:after="20"/>
            </w:pPr>
            <w:r>
              <w:rPr>
                <w:b w:val="0"/>
                <w:sz w:val="20"/>
              </w:rPr>
              <w:t>Ventas</w:t>
            </w:r>
          </w:p>
        </w:tc>
      </w:tr>
      <w:tr>
        <w:tc>
          <w:tcPr>
            <w:tcW w:type="dxa" w:w="2436"/>
            <w:tcW w:type="dxa" w:w="700"/>
          </w:tcPr>
          <w:p>
            <w:pPr>
              <w:spacing w:after="20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436"/>
            <w:tcW w:type="dxa" w:w="1200"/>
          </w:tcPr>
          <w:p>
            <w:pPr>
              <w:spacing w:after="20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436"/>
            <w:tcW w:type="dxa" w:w="5300"/>
          </w:tcPr>
          <w:p>
            <w:pPr>
              <w:spacing w:after="20"/>
            </w:pPr>
            <w:r>
              <w:rPr>
                <w:b w:val="0"/>
                <w:sz w:val="20"/>
              </w:rPr>
              <w:t>Concertación de la visita</w:t>
            </w:r>
          </w:p>
        </w:tc>
        <w:tc>
          <w:tcPr>
            <w:tcW w:type="dxa" w:w="2436"/>
            <w:tcW w:type="dxa" w:w="2200"/>
          </w:tcPr>
          <w:p>
            <w:pPr>
              <w:spacing w:after="20"/>
            </w:pPr>
            <w:r>
              <w:rPr>
                <w:b w:val="0"/>
                <w:sz w:val="20"/>
              </w:rPr>
              <w:t>Ventas</w:t>
            </w:r>
          </w:p>
        </w:tc>
      </w:tr>
      <w:tr>
        <w:tc>
          <w:tcPr>
            <w:tcW w:type="dxa" w:w="2436"/>
            <w:tcW w:type="dxa" w:w="700"/>
          </w:tcPr>
          <w:p>
            <w:pPr>
              <w:spacing w:after="20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436"/>
            <w:tcW w:type="dxa" w:w="1200"/>
          </w:tcPr>
          <w:p>
            <w:pPr>
              <w:spacing w:after="20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436"/>
            <w:tcW w:type="dxa" w:w="5300"/>
          </w:tcPr>
          <w:p>
            <w:pPr>
              <w:spacing w:after="20"/>
            </w:pPr>
            <w:r>
              <w:rPr>
                <w:b w:val="0"/>
                <w:sz w:val="20"/>
              </w:rPr>
              <w:t>Visita: relevamiento y propuesta de valor</w:t>
            </w:r>
          </w:p>
        </w:tc>
        <w:tc>
          <w:tcPr>
            <w:tcW w:type="dxa" w:w="2436"/>
            <w:tcW w:type="dxa" w:w="2200"/>
          </w:tcPr>
          <w:p>
            <w:pPr>
              <w:spacing w:after="20"/>
            </w:pPr>
            <w:r>
              <w:rPr>
                <w:b w:val="0"/>
                <w:sz w:val="20"/>
              </w:rPr>
              <w:t>Ventas</w:t>
            </w:r>
          </w:p>
        </w:tc>
      </w:tr>
      <w:tr>
        <w:tc>
          <w:tcPr>
            <w:tcW w:type="dxa" w:w="2436"/>
            <w:tcW w:type="dxa" w:w="700"/>
          </w:tcPr>
          <w:p>
            <w:pPr>
              <w:spacing w:after="20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436"/>
            <w:tcW w:type="dxa" w:w="1200"/>
          </w:tcPr>
          <w:p>
            <w:pPr>
              <w:spacing w:after="20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436"/>
            <w:tcW w:type="dxa" w:w="5300"/>
          </w:tcPr>
          <w:p>
            <w:pPr>
              <w:spacing w:after="20"/>
            </w:pPr>
            <w:r>
              <w:rPr>
                <w:b w:val="0"/>
                <w:sz w:val="20"/>
              </w:rPr>
              <w:t>Envío de presupuesto (incluye consulta de stock)</w:t>
            </w:r>
          </w:p>
        </w:tc>
        <w:tc>
          <w:tcPr>
            <w:tcW w:type="dxa" w:w="2436"/>
            <w:tcW w:type="dxa" w:w="2200"/>
          </w:tcPr>
          <w:p>
            <w:pPr>
              <w:spacing w:after="20"/>
            </w:pPr>
            <w:r>
              <w:rPr>
                <w:b w:val="0"/>
                <w:sz w:val="20"/>
              </w:rPr>
              <w:t>Ventas</w:t>
            </w:r>
          </w:p>
        </w:tc>
      </w:tr>
      <w:tr>
        <w:tc>
          <w:tcPr>
            <w:tcW w:type="dxa" w:w="2436"/>
            <w:tcW w:type="dxa" w:w="700"/>
          </w:tcPr>
          <w:p>
            <w:pPr>
              <w:spacing w:after="20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436"/>
            <w:tcW w:type="dxa" w:w="1200"/>
          </w:tcPr>
          <w:p>
            <w:pPr>
              <w:spacing w:after="20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436"/>
            <w:tcW w:type="dxa" w:w="5300"/>
          </w:tcPr>
          <w:p>
            <w:pPr>
              <w:spacing w:after="20"/>
            </w:pPr>
            <w:r>
              <w:rPr>
                <w:b w:val="0"/>
                <w:sz w:val="20"/>
              </w:rPr>
              <w:t>Seguimiento del presupuesto</w:t>
            </w:r>
          </w:p>
        </w:tc>
        <w:tc>
          <w:tcPr>
            <w:tcW w:type="dxa" w:w="2436"/>
            <w:tcW w:type="dxa" w:w="2200"/>
          </w:tcPr>
          <w:p>
            <w:pPr>
              <w:spacing w:after="20"/>
            </w:pPr>
            <w:r>
              <w:rPr>
                <w:b w:val="0"/>
                <w:sz w:val="20"/>
              </w:rPr>
              <w:t>Ventas</w:t>
            </w:r>
          </w:p>
        </w:tc>
      </w:tr>
      <w:tr>
        <w:tc>
          <w:tcPr>
            <w:tcW w:type="dxa" w:w="2436"/>
            <w:tcW w:type="dxa" w:w="700"/>
          </w:tcPr>
          <w:p>
            <w:pPr>
              <w:spacing w:after="20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436"/>
            <w:tcW w:type="dxa" w:w="1200"/>
          </w:tcPr>
          <w:p>
            <w:pPr>
              <w:spacing w:after="20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436"/>
            <w:tcW w:type="dxa" w:w="5300"/>
          </w:tcPr>
          <w:p>
            <w:pPr>
              <w:spacing w:after="20"/>
            </w:pPr>
            <w:r>
              <w:rPr>
                <w:b w:val="0"/>
                <w:sz w:val="20"/>
              </w:rPr>
              <w:t>Confirmación de la venta</w:t>
            </w:r>
          </w:p>
        </w:tc>
        <w:tc>
          <w:tcPr>
            <w:tcW w:type="dxa" w:w="2436"/>
            <w:tcW w:type="dxa" w:w="2200"/>
          </w:tcPr>
          <w:p>
            <w:pPr>
              <w:spacing w:after="20"/>
            </w:pPr>
            <w:r>
              <w:rPr>
                <w:b w:val="0"/>
                <w:sz w:val="20"/>
              </w:rPr>
              <w:t>Ventas</w:t>
            </w:r>
          </w:p>
        </w:tc>
      </w:tr>
      <w:tr>
        <w:tc>
          <w:tcPr>
            <w:tcW w:type="dxa" w:w="2436"/>
            <w:tcW w:type="dxa" w:w="700"/>
          </w:tcPr>
          <w:p>
            <w:pPr>
              <w:spacing w:after="20"/>
            </w:pPr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2436"/>
            <w:tcW w:type="dxa" w:w="1200"/>
          </w:tcPr>
          <w:p>
            <w:pPr>
              <w:spacing w:after="20"/>
            </w:pPr>
            <w:r>
              <w:rPr>
                <w:b w:val="0"/>
                <w:sz w:val="20"/>
              </w:rPr>
              <w:t>7 y 8</w:t>
            </w:r>
          </w:p>
        </w:tc>
        <w:tc>
          <w:tcPr>
            <w:tcW w:type="dxa" w:w="2436"/>
            <w:tcW w:type="dxa" w:w="5300"/>
          </w:tcPr>
          <w:p>
            <w:pPr>
              <w:spacing w:after="20"/>
            </w:pPr>
            <w:r>
              <w:rPr>
                <w:b w:val="0"/>
                <w:sz w:val="20"/>
              </w:rPr>
              <w:t>Recepción de presupuesto aprobado, cobro y bienvenida</w:t>
            </w:r>
          </w:p>
        </w:tc>
        <w:tc>
          <w:tcPr>
            <w:tcW w:type="dxa" w:w="2436"/>
            <w:tcW w:type="dxa" w:w="2200"/>
          </w:tcPr>
          <w:p>
            <w:pPr>
              <w:spacing w:after="20"/>
            </w:pPr>
            <w:r>
              <w:rPr>
                <w:b w:val="0"/>
                <w:sz w:val="20"/>
              </w:rPr>
              <w:t>Atención al Cliente</w:t>
            </w:r>
          </w:p>
        </w:tc>
      </w:tr>
      <w:tr>
        <w:tc>
          <w:tcPr>
            <w:tcW w:type="dxa" w:w="2436"/>
            <w:tcW w:type="dxa" w:w="700"/>
          </w:tcPr>
          <w:p>
            <w:pPr>
              <w:spacing w:after="20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2436"/>
            <w:tcW w:type="dxa" w:w="1200"/>
          </w:tcPr>
          <w:p>
            <w:pPr>
              <w:spacing w:after="20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436"/>
            <w:tcW w:type="dxa" w:w="5300"/>
          </w:tcPr>
          <w:p>
            <w:pPr>
              <w:spacing w:after="20"/>
            </w:pPr>
            <w:r>
              <w:rPr>
                <w:b w:val="0"/>
                <w:sz w:val="20"/>
              </w:rPr>
              <w:t>Coordinación de la instalación (incluye pedido de materiales)</w:t>
            </w:r>
          </w:p>
        </w:tc>
        <w:tc>
          <w:tcPr>
            <w:tcW w:type="dxa" w:w="2436"/>
            <w:tcW w:type="dxa" w:w="2200"/>
          </w:tcPr>
          <w:p>
            <w:pPr>
              <w:spacing w:after="20"/>
            </w:pPr>
            <w:r>
              <w:rPr>
                <w:b w:val="0"/>
                <w:sz w:val="20"/>
              </w:rPr>
              <w:t>Instalaciones</w:t>
            </w:r>
          </w:p>
        </w:tc>
      </w:tr>
      <w:tr>
        <w:tc>
          <w:tcPr>
            <w:tcW w:type="dxa" w:w="2436"/>
            <w:tcW w:type="dxa" w:w="700"/>
          </w:tcPr>
          <w:p>
            <w:pPr>
              <w:spacing w:after="20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436"/>
            <w:tcW w:type="dxa" w:w="1200"/>
          </w:tcPr>
          <w:p>
            <w:pPr>
              <w:spacing w:after="20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2436"/>
            <w:tcW w:type="dxa" w:w="5300"/>
          </w:tcPr>
          <w:p>
            <w:pPr>
              <w:spacing w:after="20"/>
            </w:pPr>
            <w:r>
              <w:rPr>
                <w:b w:val="0"/>
                <w:sz w:val="20"/>
              </w:rPr>
              <w:t>Ejecución de la instalación (incluye retiro de materiales y ajuste de faltantes y sobrantes)</w:t>
            </w:r>
          </w:p>
        </w:tc>
        <w:tc>
          <w:tcPr>
            <w:tcW w:type="dxa" w:w="2436"/>
            <w:tcW w:type="dxa" w:w="2200"/>
          </w:tcPr>
          <w:p>
            <w:pPr>
              <w:spacing w:after="20"/>
            </w:pPr>
            <w:r>
              <w:rPr>
                <w:b w:val="0"/>
                <w:sz w:val="20"/>
              </w:rPr>
              <w:t>Instalaciones</w:t>
            </w:r>
          </w:p>
        </w:tc>
      </w:tr>
      <w:tr>
        <w:tc>
          <w:tcPr>
            <w:tcW w:type="dxa" w:w="2436"/>
            <w:tcW w:type="dxa" w:w="700"/>
          </w:tcPr>
          <w:p>
            <w:pPr>
              <w:spacing w:after="20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2436"/>
            <w:tcW w:type="dxa" w:w="1200"/>
          </w:tcPr>
          <w:p>
            <w:pPr>
              <w:spacing w:after="20"/>
            </w:pPr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2436"/>
            <w:tcW w:type="dxa" w:w="5300"/>
          </w:tcPr>
          <w:p>
            <w:pPr>
              <w:spacing w:after="20"/>
            </w:pPr>
            <w:r>
              <w:rPr>
                <w:b w:val="0"/>
                <w:sz w:val="20"/>
              </w:rPr>
              <w:t>Control de calidad posterior a la instalación</w:t>
            </w:r>
          </w:p>
        </w:tc>
        <w:tc>
          <w:tcPr>
            <w:tcW w:type="dxa" w:w="2436"/>
            <w:tcW w:type="dxa" w:w="2200"/>
          </w:tcPr>
          <w:p>
            <w:pPr>
              <w:spacing w:after="20"/>
            </w:pPr>
            <w:r>
              <w:rPr>
                <w:b w:val="0"/>
                <w:sz w:val="20"/>
              </w:rPr>
              <w:t>Posventa</w:t>
            </w:r>
          </w:p>
        </w:tc>
      </w:tr>
    </w:tbl>
    <w:p>
      <w:pPr>
        <w:spacing w:after="40"/>
      </w:pPr>
    </w:p>
    <w:p>
      <w:pPr>
        <w:keepNext/>
        <w:spacing w:before="240" w:after="80"/>
        <w:pBdr>
          <w:left w:val="single" w:sz="18" w:space="8" w:color="3B5B8C"/>
        </w:pBdr>
      </w:pPr>
      <w:r>
        <w:rPr>
          <w:b/>
          <w:color w:val="1F2A44"/>
          <w:sz w:val="26"/>
        </w:rPr>
        <w:t>Áreas participantes</w:t>
      </w:r>
    </w:p>
    <w:tbl>
      <w:tblPr>
        <w:tblW w:type="auto" w:w="0"/>
        <w:tblLook w:firstColumn="1" w:firstRow="1" w:lastColumn="0" w:lastRow="0" w:noHBand="0" w:noVBand="1" w:val="04A0"/>
        <w:jc w:val="center"/>
        <w:tblLayout w:type="fixed"/>
        <w:tblBorders>
          <w:top w:val="single" w:sz="4" w:color="D9DEE7"/>
          <w:left w:val="single" w:sz="4" w:color="D9DEE7"/>
          <w:bottom w:val="single" w:sz="4" w:color="D9DEE7"/>
          <w:right w:val="single" w:sz="4" w:color="D9DEE7"/>
          <w:insideH w:val="single" w:sz="4" w:color="D9DEE7"/>
          <w:insideV w:val="single" w:sz="4" w:color="D9DEE7"/>
        </w:tblBorders>
      </w:tblPr>
      <w:tblGrid>
        <w:gridCol w:w="2000"/>
        <w:gridCol w:w="3300"/>
        <w:gridCol w:w="4100"/>
      </w:tblGrid>
      <w:tr>
        <w:trPr>
          <w:tblHeader w:val="true"/>
        </w:trPr>
        <w:tc>
          <w:tcPr>
            <w:tcW w:type="dxa" w:w="3249"/>
            <w:tcW w:type="dxa" w:w="20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Área (lane)</w:t>
            </w:r>
          </w:p>
        </w:tc>
        <w:tc>
          <w:tcPr>
            <w:tcW w:type="dxa" w:w="3249"/>
            <w:tcW w:type="dxa" w:w="33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Depende de</w:t>
            </w:r>
          </w:p>
        </w:tc>
        <w:tc>
          <w:tcPr>
            <w:tcW w:type="dxa" w:w="3249"/>
            <w:tcW w:type="dxa" w:w="41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Rol en el proceso</w:t>
            </w:r>
          </w:p>
        </w:tc>
      </w:tr>
      <w:tr>
        <w:tc>
          <w:tcPr>
            <w:tcW w:type="dxa" w:w="3249"/>
            <w:tcW w:type="dxa" w:w="2000"/>
          </w:tcPr>
          <w:p>
            <w:pPr>
              <w:spacing w:after="20"/>
            </w:pPr>
            <w:r>
              <w:rPr>
                <w:b w:val="0"/>
                <w:sz w:val="20"/>
              </w:rPr>
              <w:t>Ventas</w:t>
            </w:r>
          </w:p>
        </w:tc>
        <w:tc>
          <w:tcPr>
            <w:tcW w:type="dxa" w:w="3249"/>
            <w:tcW w:type="dxa" w:w="3300"/>
          </w:tcPr>
          <w:p>
            <w:pPr>
              <w:spacing w:after="20"/>
            </w:pPr>
            <w:r>
              <w:rPr>
                <w:b w:val="0"/>
                <w:sz w:val="20"/>
              </w:rPr>
              <w:t>Gerencia de Comercialización y Marketing (a confirmar)</w:t>
            </w:r>
          </w:p>
        </w:tc>
        <w:tc>
          <w:tcPr>
            <w:tcW w:type="dxa" w:w="3249"/>
            <w:tcW w:type="dxa" w:w="4100"/>
          </w:tcPr>
          <w:p>
            <w:pPr>
              <w:spacing w:after="20"/>
            </w:pPr>
            <w:r>
              <w:rPr>
                <w:b w:val="0"/>
                <w:sz w:val="20"/>
              </w:rPr>
              <w:t>Troncal. Sub-lanes: Bot IA comercial (GHL) y Agente comercial.</w:t>
            </w:r>
          </w:p>
        </w:tc>
      </w:tr>
      <w:tr>
        <w:tc>
          <w:tcPr>
            <w:tcW w:type="dxa" w:w="3249"/>
            <w:tcW w:type="dxa" w:w="2000"/>
          </w:tcPr>
          <w:p>
            <w:pPr>
              <w:spacing w:after="20"/>
            </w:pPr>
            <w:r>
              <w:rPr>
                <w:b w:val="0"/>
                <w:sz w:val="20"/>
              </w:rPr>
              <w:t>Atención al Cliente</w:t>
            </w:r>
          </w:p>
        </w:tc>
        <w:tc>
          <w:tcPr>
            <w:tcW w:type="dxa" w:w="3249"/>
            <w:tcW w:type="dxa" w:w="3300"/>
          </w:tcPr>
          <w:p>
            <w:pPr>
              <w:spacing w:after="20"/>
            </w:pPr>
            <w:r>
              <w:rPr>
                <w:b w:val="0"/>
                <w:sz w:val="20"/>
              </w:rPr>
              <w:t>Gerencia de Administración y Finanzas</w:t>
            </w:r>
          </w:p>
        </w:tc>
        <w:tc>
          <w:tcPr>
            <w:tcW w:type="dxa" w:w="3249"/>
            <w:tcW w:type="dxa" w:w="4100"/>
          </w:tcPr>
          <w:p>
            <w:pPr>
              <w:spacing w:after="20"/>
            </w:pPr>
            <w:r>
              <w:rPr>
                <w:b w:val="0"/>
                <w:sz w:val="20"/>
              </w:rPr>
              <w:t>Troncal. Alta administrativa, cobro y bienvenida.</w:t>
            </w:r>
          </w:p>
        </w:tc>
      </w:tr>
      <w:tr>
        <w:tc>
          <w:tcPr>
            <w:tcW w:type="dxa" w:w="3249"/>
            <w:tcW w:type="dxa" w:w="2000"/>
          </w:tcPr>
          <w:p>
            <w:pPr>
              <w:spacing w:after="20"/>
            </w:pPr>
            <w:r>
              <w:rPr>
                <w:b w:val="0"/>
                <w:sz w:val="20"/>
              </w:rPr>
              <w:t>Instalaciones</w:t>
            </w:r>
          </w:p>
        </w:tc>
        <w:tc>
          <w:tcPr>
            <w:tcW w:type="dxa" w:w="3249"/>
            <w:tcW w:type="dxa" w:w="3300"/>
          </w:tcPr>
          <w:p>
            <w:pPr>
              <w:spacing w:after="20"/>
            </w:pPr>
            <w:r>
              <w:rPr>
                <w:b w:val="0"/>
                <w:sz w:val="20"/>
              </w:rPr>
              <w:t>A confirmar</w:t>
            </w:r>
          </w:p>
        </w:tc>
        <w:tc>
          <w:tcPr>
            <w:tcW w:type="dxa" w:w="3249"/>
            <w:tcW w:type="dxa" w:w="4100"/>
          </w:tcPr>
          <w:p>
            <w:pPr>
              <w:spacing w:after="20"/>
            </w:pPr>
            <w:r>
              <w:rPr>
                <w:b w:val="0"/>
                <w:sz w:val="20"/>
              </w:rPr>
              <w:t>Troncal. Coordina, pide materiales e instala.</w:t>
            </w:r>
          </w:p>
        </w:tc>
      </w:tr>
      <w:tr>
        <w:tc>
          <w:tcPr>
            <w:tcW w:type="dxa" w:w="3249"/>
            <w:tcW w:type="dxa" w:w="2000"/>
          </w:tcPr>
          <w:p>
            <w:pPr>
              <w:spacing w:after="20"/>
            </w:pPr>
            <w:r>
              <w:rPr>
                <w:b w:val="0"/>
                <w:sz w:val="20"/>
              </w:rPr>
              <w:t>Depósito</w:t>
            </w:r>
          </w:p>
        </w:tc>
        <w:tc>
          <w:tcPr>
            <w:tcW w:type="dxa" w:w="3249"/>
            <w:tcW w:type="dxa" w:w="3300"/>
          </w:tcPr>
          <w:p>
            <w:pPr>
              <w:spacing w:after="20"/>
            </w:pPr>
            <w:r>
              <w:rPr>
                <w:b w:val="0"/>
                <w:sz w:val="20"/>
              </w:rPr>
              <w:t>Gerencia de Operaciones Técnicas</w:t>
            </w:r>
          </w:p>
        </w:tc>
        <w:tc>
          <w:tcPr>
            <w:tcW w:type="dxa" w:w="3249"/>
            <w:tcW w:type="dxa" w:w="4100"/>
          </w:tcPr>
          <w:p>
            <w:pPr>
              <w:spacing w:after="20"/>
            </w:pPr>
            <w:r>
              <w:rPr>
                <w:b w:val="0"/>
                <w:sz w:val="20"/>
              </w:rPr>
              <w:t>Apoyo. Se modela solo su participación; su funcionamiento interno va a procesos de apoyo.</w:t>
            </w:r>
          </w:p>
        </w:tc>
      </w:tr>
      <w:tr>
        <w:tc>
          <w:tcPr>
            <w:tcW w:type="dxa" w:w="3249"/>
            <w:tcW w:type="dxa" w:w="2000"/>
          </w:tcPr>
          <w:p>
            <w:pPr>
              <w:spacing w:after="20"/>
            </w:pPr>
            <w:r>
              <w:rPr>
                <w:b w:val="0"/>
                <w:sz w:val="20"/>
              </w:rPr>
              <w:t>Posventa</w:t>
            </w:r>
          </w:p>
        </w:tc>
        <w:tc>
          <w:tcPr>
            <w:tcW w:type="dxa" w:w="3249"/>
            <w:tcW w:type="dxa" w:w="3300"/>
          </w:tcPr>
          <w:p>
            <w:pPr>
              <w:spacing w:after="20"/>
            </w:pPr>
            <w:r>
              <w:rPr>
                <w:b w:val="0"/>
                <w:sz w:val="20"/>
              </w:rPr>
              <w:t>A confirmar</w:t>
            </w:r>
          </w:p>
        </w:tc>
        <w:tc>
          <w:tcPr>
            <w:tcW w:type="dxa" w:w="3249"/>
            <w:tcW w:type="dxa" w:w="4100"/>
          </w:tcPr>
          <w:p>
            <w:pPr>
              <w:spacing w:after="20"/>
            </w:pPr>
            <w:r>
              <w:rPr>
                <w:b w:val="0"/>
                <w:sz w:val="20"/>
              </w:rPr>
              <w:t>Troncal. Control de calidad; clasifica y deriva, no ejecuta.</w:t>
            </w:r>
          </w:p>
        </w:tc>
      </w:tr>
    </w:tbl>
    <w:p>
      <w:pPr>
        <w:spacing w:after="40"/>
      </w:pPr>
    </w:p>
    <w:p>
      <w:r>
        <w:rPr>
          <w:color w:val="595959"/>
        </w:rPr>
        <w:t>Servicio Técnico no participa dentro del proceso: recibe los casos que deriva Posventa.</w:t>
      </w:r>
    </w:p>
    <w:p>
      <w:pPr>
        <w:keepNext/>
        <w:spacing w:before="240" w:after="80"/>
        <w:pBdr>
          <w:left w:val="single" w:sz="18" w:space="8" w:color="3B5B8C"/>
        </w:pBdr>
      </w:pPr>
      <w:r>
        <w:rPr>
          <w:b/>
          <w:color w:val="1F2A44"/>
          <w:sz w:val="26"/>
        </w:rPr>
        <w:t>Hitos de traspaso de responsabilidad</w:t>
      </w:r>
    </w:p>
    <w:p>
      <w:r>
        <w:rPr>
          <w:color w:val="595959"/>
        </w:rPr>
        <w:t>La numeración de hitos no cambia. Las etapas asociadas ya están actualizadas en la matriz.</w:t>
      </w:r>
    </w:p>
    <w:tbl>
      <w:tblPr>
        <w:tblW w:type="auto" w:w="0"/>
        <w:tblLook w:firstColumn="1" w:firstRow="1" w:lastColumn="0" w:lastRow="0" w:noHBand="0" w:noVBand="1" w:val="04A0"/>
        <w:jc w:val="center"/>
        <w:tblLayout w:type="fixed"/>
        <w:tblBorders>
          <w:top w:val="single" w:sz="4" w:color="D9DEE7"/>
          <w:left w:val="single" w:sz="4" w:color="D9DEE7"/>
          <w:bottom w:val="single" w:sz="4" w:color="D9DEE7"/>
          <w:right w:val="single" w:sz="4" w:color="D9DEE7"/>
          <w:insideH w:val="single" w:sz="4" w:color="D9DEE7"/>
          <w:insideV w:val="single" w:sz="4" w:color="D9DEE7"/>
        </w:tblBorders>
      </w:tblPr>
      <w:tblGrid>
        <w:gridCol w:w="700"/>
        <w:gridCol w:w="4600"/>
        <w:gridCol w:w="4100"/>
      </w:tblGrid>
      <w:tr>
        <w:trPr>
          <w:tblHeader w:val="true"/>
        </w:trPr>
        <w:tc>
          <w:tcPr>
            <w:tcW w:type="dxa" w:w="3249"/>
            <w:tcW w:type="dxa" w:w="7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N°</w:t>
            </w:r>
          </w:p>
        </w:tc>
        <w:tc>
          <w:tcPr>
            <w:tcW w:type="dxa" w:w="3249"/>
            <w:tcW w:type="dxa" w:w="46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Hito</w:t>
            </w:r>
          </w:p>
        </w:tc>
        <w:tc>
          <w:tcPr>
            <w:tcW w:type="dxa" w:w="3249"/>
            <w:tcW w:type="dxa" w:w="41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Tipo</w:t>
            </w:r>
          </w:p>
        </w:tc>
      </w:tr>
      <w:tr>
        <w:tc>
          <w:tcPr>
            <w:tcW w:type="dxa" w:w="3249"/>
            <w:tcW w:type="dxa" w:w="700"/>
          </w:tcPr>
          <w:p>
            <w:pPr>
              <w:spacing w:after="20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249"/>
            <w:tcW w:type="dxa" w:w="4600"/>
          </w:tcPr>
          <w:p>
            <w:pPr>
              <w:spacing w:after="20"/>
            </w:pPr>
            <w:r>
              <w:rPr>
                <w:b w:val="0"/>
                <w:sz w:val="20"/>
              </w:rPr>
              <w:t>Cierre de la venta</w:t>
            </w:r>
          </w:p>
        </w:tc>
        <w:tc>
          <w:tcPr>
            <w:tcW w:type="dxa" w:w="3249"/>
            <w:tcW w:type="dxa" w:w="4100"/>
          </w:tcPr>
          <w:p>
            <w:pPr>
              <w:spacing w:after="20"/>
            </w:pPr>
            <w:r>
              <w:rPr>
                <w:b w:val="0"/>
                <w:sz w:val="20"/>
              </w:rPr>
              <w:t>Interno</w:t>
            </w:r>
          </w:p>
        </w:tc>
      </w:tr>
      <w:tr>
        <w:tc>
          <w:tcPr>
            <w:tcW w:type="dxa" w:w="3249"/>
            <w:tcW w:type="dxa" w:w="700"/>
          </w:tcPr>
          <w:p>
            <w:pPr>
              <w:spacing w:after="20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249"/>
            <w:tcW w:type="dxa" w:w="4600"/>
          </w:tcPr>
          <w:p>
            <w:pPr>
              <w:spacing w:after="20"/>
            </w:pPr>
            <w:r>
              <w:rPr>
                <w:b w:val="0"/>
                <w:sz w:val="20"/>
              </w:rPr>
              <w:t>Cobro del 100% y caso de instalación</w:t>
            </w:r>
          </w:p>
        </w:tc>
        <w:tc>
          <w:tcPr>
            <w:tcW w:type="dxa" w:w="3249"/>
            <w:tcW w:type="dxa" w:w="4100"/>
          </w:tcPr>
          <w:p>
            <w:pPr>
              <w:spacing w:after="20"/>
            </w:pPr>
            <w:r>
              <w:rPr>
                <w:b w:val="0"/>
                <w:sz w:val="20"/>
              </w:rPr>
              <w:t>Interno</w:t>
            </w:r>
          </w:p>
        </w:tc>
      </w:tr>
      <w:tr>
        <w:tc>
          <w:tcPr>
            <w:tcW w:type="dxa" w:w="3249"/>
            <w:tcW w:type="dxa" w:w="700"/>
          </w:tcPr>
          <w:p>
            <w:pPr>
              <w:spacing w:after="20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249"/>
            <w:tcW w:type="dxa" w:w="4600"/>
          </w:tcPr>
          <w:p>
            <w:pPr>
              <w:spacing w:after="20"/>
            </w:pPr>
            <w:r>
              <w:rPr>
                <w:b w:val="0"/>
                <w:sz w:val="20"/>
              </w:rPr>
              <w:t>Coordinación de la fecha de instalación</w:t>
            </w:r>
          </w:p>
        </w:tc>
        <w:tc>
          <w:tcPr>
            <w:tcW w:type="dxa" w:w="3249"/>
            <w:tcW w:type="dxa" w:w="4100"/>
          </w:tcPr>
          <w:p>
            <w:pPr>
              <w:spacing w:after="20"/>
            </w:pPr>
            <w:r>
              <w:rPr>
                <w:b w:val="0"/>
                <w:sz w:val="20"/>
              </w:rPr>
              <w:t>Interno</w:t>
            </w:r>
          </w:p>
        </w:tc>
      </w:tr>
      <w:tr>
        <w:tc>
          <w:tcPr>
            <w:tcW w:type="dxa" w:w="3249"/>
            <w:tcW w:type="dxa" w:w="700"/>
          </w:tcPr>
          <w:p>
            <w:pPr>
              <w:spacing w:after="20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3249"/>
            <w:tcW w:type="dxa" w:w="4600"/>
          </w:tcPr>
          <w:p>
            <w:pPr>
              <w:spacing w:after="20"/>
            </w:pPr>
            <w:r>
              <w:rPr>
                <w:b w:val="0"/>
                <w:sz w:val="20"/>
              </w:rPr>
              <w:t>Consultas sin fecha confirmada</w:t>
            </w:r>
          </w:p>
        </w:tc>
        <w:tc>
          <w:tcPr>
            <w:tcW w:type="dxa" w:w="3249"/>
            <w:tcW w:type="dxa" w:w="4100"/>
          </w:tcPr>
          <w:p>
            <w:pPr>
              <w:spacing w:after="20"/>
            </w:pPr>
            <w:r>
              <w:rPr>
                <w:b w:val="0"/>
                <w:sz w:val="20"/>
              </w:rPr>
              <w:t>Interno</w:t>
            </w:r>
          </w:p>
        </w:tc>
      </w:tr>
      <w:tr>
        <w:tc>
          <w:tcPr>
            <w:tcW w:type="dxa" w:w="3249"/>
            <w:tcW w:type="dxa" w:w="700"/>
          </w:tcPr>
          <w:p>
            <w:pPr>
              <w:spacing w:after="20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249"/>
            <w:tcW w:type="dxa" w:w="4600"/>
          </w:tcPr>
          <w:p>
            <w:pPr>
              <w:spacing w:after="20"/>
            </w:pPr>
            <w:r>
              <w:rPr>
                <w:b w:val="0"/>
                <w:sz w:val="20"/>
              </w:rPr>
              <w:t>Cierre de la instalación y acta de conformidad</w:t>
            </w:r>
          </w:p>
        </w:tc>
        <w:tc>
          <w:tcPr>
            <w:tcW w:type="dxa" w:w="3249"/>
            <w:tcW w:type="dxa" w:w="4100"/>
          </w:tcPr>
          <w:p>
            <w:pPr>
              <w:spacing w:after="20"/>
            </w:pPr>
            <w:r>
              <w:rPr>
                <w:b w:val="0"/>
                <w:sz w:val="20"/>
              </w:rPr>
              <w:t>Interno</w:t>
            </w:r>
          </w:p>
        </w:tc>
      </w:tr>
      <w:tr>
        <w:tc>
          <w:tcPr>
            <w:tcW w:type="dxa" w:w="3249"/>
            <w:tcW w:type="dxa" w:w="700"/>
          </w:tcPr>
          <w:p>
            <w:pPr>
              <w:spacing w:after="20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249"/>
            <w:tcW w:type="dxa" w:w="4600"/>
          </w:tcPr>
          <w:p>
            <w:pPr>
              <w:spacing w:after="20"/>
            </w:pPr>
            <w:r>
              <w:rPr>
                <w:b w:val="0"/>
                <w:sz w:val="20"/>
              </w:rPr>
              <w:t>Registro de pendientes en el acta</w:t>
            </w:r>
          </w:p>
        </w:tc>
        <w:tc>
          <w:tcPr>
            <w:tcW w:type="dxa" w:w="3249"/>
            <w:tcW w:type="dxa" w:w="4100"/>
          </w:tcPr>
          <w:p>
            <w:pPr>
              <w:spacing w:after="20"/>
            </w:pPr>
            <w:r>
              <w:rPr>
                <w:b w:val="0"/>
                <w:sz w:val="20"/>
              </w:rPr>
              <w:t>Interno</w:t>
            </w:r>
          </w:p>
        </w:tc>
      </w:tr>
      <w:tr>
        <w:tc>
          <w:tcPr>
            <w:tcW w:type="dxa" w:w="3249"/>
            <w:tcW w:type="dxa" w:w="700"/>
          </w:tcPr>
          <w:p>
            <w:pPr>
              <w:spacing w:after="20"/>
            </w:pPr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3249"/>
            <w:tcW w:type="dxa" w:w="4600"/>
          </w:tcPr>
          <w:p>
            <w:pPr>
              <w:spacing w:after="20"/>
            </w:pPr>
            <w:r>
              <w:rPr>
                <w:b w:val="0"/>
                <w:sz w:val="20"/>
              </w:rPr>
              <w:t>Comunicación de activación del sistema</w:t>
            </w:r>
          </w:p>
        </w:tc>
        <w:tc>
          <w:tcPr>
            <w:tcW w:type="dxa" w:w="3249"/>
            <w:tcW w:type="dxa" w:w="4100"/>
          </w:tcPr>
          <w:p>
            <w:pPr>
              <w:spacing w:after="20"/>
            </w:pPr>
            <w:r>
              <w:rPr>
                <w:b w:val="0"/>
                <w:sz w:val="20"/>
              </w:rPr>
              <w:t>Interno</w:t>
            </w:r>
          </w:p>
        </w:tc>
      </w:tr>
      <w:tr>
        <w:tc>
          <w:tcPr>
            <w:tcW w:type="dxa" w:w="3249"/>
            <w:tcW w:type="dxa" w:w="700"/>
          </w:tcPr>
          <w:p>
            <w:pPr>
              <w:spacing w:after="20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3249"/>
            <w:tcW w:type="dxa" w:w="4600"/>
          </w:tcPr>
          <w:p>
            <w:pPr>
              <w:spacing w:after="20"/>
            </w:pPr>
            <w:r>
              <w:rPr>
                <w:b w:val="0"/>
                <w:sz w:val="20"/>
              </w:rPr>
              <w:t>Control de calidad y encuesta (Posventa)</w:t>
            </w:r>
          </w:p>
        </w:tc>
        <w:tc>
          <w:tcPr>
            <w:tcW w:type="dxa" w:w="3249"/>
            <w:tcW w:type="dxa" w:w="4100"/>
          </w:tcPr>
          <w:p>
            <w:pPr>
              <w:spacing w:after="20"/>
            </w:pPr>
            <w:r>
              <w:rPr>
                <w:b w:val="0"/>
                <w:sz w:val="20"/>
              </w:rPr>
              <w:t>Interno</w:t>
            </w:r>
          </w:p>
        </w:tc>
      </w:tr>
      <w:tr>
        <w:tc>
          <w:tcPr>
            <w:tcW w:type="dxa" w:w="3249"/>
            <w:tcW w:type="dxa" w:w="700"/>
            <w:shd w:val="clear" w:color="auto" w:fill="EEF2F7"/>
          </w:tcPr>
          <w:p>
            <w:pPr>
              <w:spacing w:after="20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3249"/>
            <w:tcW w:type="dxa" w:w="4600"/>
            <w:shd w:val="clear" w:color="auto" w:fill="EEF2F7"/>
          </w:tcPr>
          <w:p>
            <w:pPr>
              <w:spacing w:after="20"/>
            </w:pPr>
            <w:r>
              <w:rPr>
                <w:b w:val="0"/>
                <w:sz w:val="20"/>
              </w:rPr>
              <w:t>Clasificación y canalización de reclamos</w:t>
            </w:r>
          </w:p>
        </w:tc>
        <w:tc>
          <w:tcPr>
            <w:tcW w:type="dxa" w:w="3249"/>
            <w:tcW w:type="dxa" w:w="4100"/>
            <w:shd w:val="clear" w:color="auto" w:fill="EEF2F7"/>
          </w:tcPr>
          <w:p>
            <w:pPr>
              <w:spacing w:after="20"/>
            </w:pPr>
            <w:r>
              <w:rPr>
                <w:b w:val="0"/>
                <w:sz w:val="20"/>
              </w:rPr>
              <w:t>Salida: Posventa clasifica y deriva al proceso que corresponde</w:t>
            </w:r>
          </w:p>
        </w:tc>
      </w:tr>
      <w:tr>
        <w:tc>
          <w:tcPr>
            <w:tcW w:type="dxa" w:w="3249"/>
            <w:tcW w:type="dxa" w:w="700"/>
          </w:tcPr>
          <w:p>
            <w:pPr>
              <w:spacing w:after="20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3249"/>
            <w:tcW w:type="dxa" w:w="4600"/>
          </w:tcPr>
          <w:p>
            <w:pPr>
              <w:spacing w:after="20"/>
            </w:pPr>
            <w:r>
              <w:rPr>
                <w:b w:val="0"/>
                <w:sz w:val="20"/>
              </w:rPr>
              <w:t>Escalación de pendiente del acta vencido</w:t>
            </w:r>
          </w:p>
        </w:tc>
        <w:tc>
          <w:tcPr>
            <w:tcW w:type="dxa" w:w="3249"/>
            <w:tcW w:type="dxa" w:w="4100"/>
          </w:tcPr>
          <w:p>
            <w:pPr>
              <w:spacing w:after="20"/>
            </w:pPr>
            <w:r>
              <w:rPr>
                <w:b w:val="0"/>
                <w:sz w:val="20"/>
              </w:rPr>
              <w:t>Interno</w:t>
            </w:r>
          </w:p>
        </w:tc>
      </w:tr>
      <w:tr>
        <w:tc>
          <w:tcPr>
            <w:tcW w:type="dxa" w:w="3249"/>
            <w:tcW w:type="dxa" w:w="700"/>
            <w:shd w:val="clear" w:color="auto" w:fill="EEF2F7"/>
          </w:tcPr>
          <w:p>
            <w:pPr>
              <w:spacing w:after="20"/>
            </w:pPr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3249"/>
            <w:tcW w:type="dxa" w:w="4600"/>
            <w:shd w:val="clear" w:color="auto" w:fill="EEF2F7"/>
          </w:tcPr>
          <w:p>
            <w:pPr>
              <w:spacing w:after="20"/>
            </w:pPr>
            <w:r>
              <w:rPr>
                <w:b w:val="0"/>
                <w:sz w:val="20"/>
              </w:rPr>
              <w:t>Caso técnico derivado por Posventa (SLA)</w:t>
            </w:r>
          </w:p>
        </w:tc>
        <w:tc>
          <w:tcPr>
            <w:tcW w:type="dxa" w:w="3249"/>
            <w:tcW w:type="dxa" w:w="4100"/>
            <w:shd w:val="clear" w:color="auto" w:fill="EEF2F7"/>
          </w:tcPr>
          <w:p>
            <w:pPr>
              <w:spacing w:after="20"/>
            </w:pPr>
            <w:r>
              <w:rPr>
                <w:b w:val="0"/>
                <w:sz w:val="20"/>
              </w:rPr>
              <w:t>Salida hacia Servicio al cliente activo (Mantenimiento correctivo)</w:t>
            </w:r>
          </w:p>
        </w:tc>
      </w:tr>
      <w:tr>
        <w:tc>
          <w:tcPr>
            <w:tcW w:type="dxa" w:w="3249"/>
            <w:tcW w:type="dxa" w:w="700"/>
            <w:shd w:val="clear" w:color="auto" w:fill="EEF2F7"/>
          </w:tcPr>
          <w:p>
            <w:pPr>
              <w:spacing w:after="20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3249"/>
            <w:tcW w:type="dxa" w:w="4600"/>
            <w:shd w:val="clear" w:color="auto" w:fill="EEF2F7"/>
          </w:tcPr>
          <w:p>
            <w:pPr>
              <w:spacing w:after="20"/>
            </w:pPr>
            <w:r>
              <w:rPr>
                <w:b w:val="0"/>
                <w:sz w:val="20"/>
              </w:rPr>
              <w:t>Situación administrativa derivada por Posventa</w:t>
            </w:r>
          </w:p>
        </w:tc>
        <w:tc>
          <w:tcPr>
            <w:tcW w:type="dxa" w:w="3249"/>
            <w:tcW w:type="dxa" w:w="4100"/>
            <w:shd w:val="clear" w:color="auto" w:fill="EEF2F7"/>
          </w:tcPr>
          <w:p>
            <w:pPr>
              <w:spacing w:after="20"/>
            </w:pPr>
            <w:r>
              <w:rPr>
                <w:b w:val="0"/>
                <w:sz w:val="20"/>
              </w:rPr>
              <w:t>Salida hacia Servicio al cliente activo (Atención al cliente activo)</w:t>
            </w:r>
          </w:p>
        </w:tc>
      </w:tr>
    </w:tbl>
    <w:p>
      <w:pPr>
        <w:spacing w:after="40"/>
      </w:pPr>
    </w:p>
    <w:p>
      <w:pPr>
        <w:keepNext/>
        <w:spacing w:before="240" w:after="80"/>
        <w:pBdr>
          <w:left w:val="single" w:sz="18" w:space="8" w:color="3B5B8C"/>
        </w:pBdr>
      </w:pPr>
      <w:r>
        <w:rPr>
          <w:b/>
          <w:color w:val="1F2A44"/>
          <w:sz w:val="26"/>
        </w:rPr>
        <w:t>Participación de Depósito</w:t>
      </w:r>
    </w:p>
    <w:p>
      <w:pPr>
        <w:keepNext/>
        <w:spacing w:before="160" w:after="60"/>
      </w:pPr>
      <w:r>
        <w:rPr>
          <w:b/>
          <w:color w:val="3B5B8C"/>
          <w:sz w:val="22"/>
        </w:rPr>
        <w:t>Puntos de contacto con el proceso</w:t>
      </w:r>
    </w:p>
    <w:p>
      <w:pPr>
        <w:pStyle w:val="ListBullet"/>
        <w:spacing w:after="40"/>
      </w:pPr>
      <w:r>
        <w:rPr>
          <w:b/>
        </w:rPr>
        <w:t>Consulta de stock (etapa 4):</w:t>
      </w:r>
      <w:r>
        <w:rPr>
          <w:b w:val="0"/>
        </w:rPr>
        <w:t xml:space="preserve"> al armar el presupuesto, NetSuite avisa al vendedor si hay stock. Se considera disponible el stock del Depósito Central menos un stock de seguridad. No es una tarea de Depósito: es un dato.</w:t>
      </w:r>
    </w:p>
    <w:p>
      <w:pPr>
        <w:pStyle w:val="ListBullet"/>
        <w:spacing w:after="40"/>
      </w:pPr>
      <w:r>
        <w:rPr>
          <w:b/>
        </w:rPr>
        <w:t>Planificación de materiales:</w:t>
      </w:r>
      <w:r>
        <w:rPr>
          <w:b w:val="0"/>
        </w:rPr>
        <w:t xml:space="preserve"> Depósito consulta en forma recurrente los presupuestos comprometidos (confirmados sin pagar y confirmados pagos) y los materiales que requieren.</w:t>
      </w:r>
    </w:p>
    <w:p>
      <w:pPr>
        <w:pStyle w:val="ListBullet"/>
        <w:spacing w:after="40"/>
      </w:pPr>
      <w:r>
        <w:rPr>
          <w:b/>
        </w:rPr>
        <w:t>Entrega por trabajo (etapas 8 y 9):</w:t>
      </w:r>
      <w:r>
        <w:rPr>
          <w:b w:val="0"/>
        </w:rPr>
        <w:t xml:space="preserve"> Instalaciones solicita a Depósito los equipos de cada trabajo. El técnico los retira en el Depósito Central.</w:t>
      </w:r>
    </w:p>
    <w:p>
      <w:pPr>
        <w:pStyle w:val="ListBullet"/>
        <w:spacing w:after="40"/>
      </w:pPr>
      <w:r>
        <w:rPr>
          <w:b/>
        </w:rPr>
        <w:t>Faltantes y sobrantes (etapa 9):</w:t>
      </w:r>
      <w:r>
        <w:rPr>
          <w:b w:val="0"/>
        </w:rPr>
        <w:t xml:space="preserve"> durante el trabajo el técnico ajusta los faltantes; al finalizar ajusta los sobrantes, si los hay.</w:t>
      </w:r>
    </w:p>
    <w:p>
      <w:pPr>
        <w:keepNext/>
        <w:spacing w:before="160" w:after="60"/>
      </w:pPr>
      <w:r>
        <w:rPr>
          <w:b/>
          <w:color w:val="3B5B8C"/>
          <w:sz w:val="22"/>
        </w:rPr>
        <w:t>Documentos de NetSuite que intervienen</w:t>
      </w:r>
    </w:p>
    <w:tbl>
      <w:tblPr>
        <w:tblW w:type="auto" w:w="0"/>
        <w:tblLook w:firstColumn="1" w:firstRow="1" w:lastColumn="0" w:lastRow="0" w:noHBand="0" w:noVBand="1" w:val="04A0"/>
        <w:jc w:val="center"/>
        <w:tblLayout w:type="fixed"/>
        <w:tblBorders>
          <w:top w:val="single" w:sz="4" w:color="D9DEE7"/>
          <w:left w:val="single" w:sz="4" w:color="D9DEE7"/>
          <w:bottom w:val="single" w:sz="4" w:color="D9DEE7"/>
          <w:right w:val="single" w:sz="4" w:color="D9DEE7"/>
          <w:insideH w:val="single" w:sz="4" w:color="D9DEE7"/>
          <w:insideV w:val="single" w:sz="4" w:color="D9DEE7"/>
        </w:tblBorders>
      </w:tblPr>
      <w:tblGrid>
        <w:gridCol w:w="3300"/>
        <w:gridCol w:w="2000"/>
        <w:gridCol w:w="4100"/>
      </w:tblGrid>
      <w:tr>
        <w:trPr>
          <w:tblHeader w:val="true"/>
        </w:trPr>
        <w:tc>
          <w:tcPr>
            <w:tcW w:type="dxa" w:w="3249"/>
            <w:tcW w:type="dxa" w:w="33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3249"/>
            <w:tcW w:type="dxa" w:w="20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Quién lo genera</w:t>
            </w:r>
          </w:p>
        </w:tc>
        <w:tc>
          <w:tcPr>
            <w:tcW w:type="dxa" w:w="3249"/>
            <w:tcW w:type="dxa" w:w="41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Función</w:t>
            </w:r>
          </w:p>
        </w:tc>
      </w:tr>
      <w:tr>
        <w:tc>
          <w:tcPr>
            <w:tcW w:type="dxa" w:w="3249"/>
            <w:tcW w:type="dxa" w:w="3300"/>
          </w:tcPr>
          <w:p>
            <w:pPr>
              <w:spacing w:after="20"/>
            </w:pPr>
            <w:r>
              <w:rPr>
                <w:b w:val="0"/>
                <w:sz w:val="20"/>
              </w:rPr>
              <w:t>Orden de venta / orden de instalación</w:t>
            </w:r>
          </w:p>
        </w:tc>
        <w:tc>
          <w:tcPr>
            <w:tcW w:type="dxa" w:w="3249"/>
            <w:tcW w:type="dxa" w:w="2000"/>
          </w:tcPr>
          <w:p>
            <w:pPr>
              <w:spacing w:after="20"/>
            </w:pPr>
            <w:r>
              <w:rPr>
                <w:b w:val="0"/>
                <w:sz w:val="20"/>
              </w:rPr>
              <w:t>Instalaciones</w:t>
            </w:r>
          </w:p>
        </w:tc>
        <w:tc>
          <w:tcPr>
            <w:tcW w:type="dxa" w:w="3249"/>
            <w:tcW w:type="dxa" w:w="4100"/>
          </w:tcPr>
          <w:p>
            <w:pPr>
              <w:spacing w:after="20"/>
            </w:pPr>
            <w:r>
              <w:rPr>
                <w:b w:val="0"/>
                <w:sz w:val="20"/>
              </w:rPr>
              <w:t>Solicitud de los materiales del trabajo.</w:t>
            </w:r>
          </w:p>
        </w:tc>
      </w:tr>
      <w:tr>
        <w:tc>
          <w:tcPr>
            <w:tcW w:type="dxa" w:w="3249"/>
            <w:tcW w:type="dxa" w:w="3300"/>
          </w:tcPr>
          <w:p>
            <w:pPr>
              <w:spacing w:after="20"/>
            </w:pPr>
            <w:r>
              <w:rPr>
                <w:b w:val="0"/>
                <w:sz w:val="20"/>
              </w:rPr>
              <w:t>Orden de traslado (campo Técnico al que entrega material)</w:t>
            </w:r>
          </w:p>
        </w:tc>
        <w:tc>
          <w:tcPr>
            <w:tcW w:type="dxa" w:w="3249"/>
            <w:tcW w:type="dxa" w:w="2000"/>
          </w:tcPr>
          <w:p>
            <w:pPr>
              <w:spacing w:after="20"/>
            </w:pPr>
            <w:r>
              <w:rPr>
                <w:b w:val="0"/>
                <w:sz w:val="20"/>
              </w:rPr>
              <w:t>Depósito</w:t>
            </w:r>
          </w:p>
        </w:tc>
        <w:tc>
          <w:tcPr>
            <w:tcW w:type="dxa" w:w="3249"/>
            <w:tcW w:type="dxa" w:w="4100"/>
          </w:tcPr>
          <w:p>
            <w:pPr>
              <w:spacing w:after="20"/>
            </w:pPr>
            <w:r>
              <w:rPr>
                <w:b w:val="0"/>
                <w:sz w:val="20"/>
              </w:rPr>
              <w:t>Traslado de Central al depósito del técnico.</w:t>
            </w:r>
          </w:p>
        </w:tc>
      </w:tr>
      <w:tr>
        <w:tc>
          <w:tcPr>
            <w:tcW w:type="dxa" w:w="3249"/>
            <w:tcW w:type="dxa" w:w="3300"/>
          </w:tcPr>
          <w:p>
            <w:pPr>
              <w:spacing w:after="20"/>
            </w:pPr>
            <w:r>
              <w:rPr>
                <w:b w:val="0"/>
                <w:sz w:val="20"/>
              </w:rPr>
              <w:t>Despacho de la orden de traslado (remito)</w:t>
            </w:r>
          </w:p>
        </w:tc>
        <w:tc>
          <w:tcPr>
            <w:tcW w:type="dxa" w:w="3249"/>
            <w:tcW w:type="dxa" w:w="2000"/>
          </w:tcPr>
          <w:p>
            <w:pPr>
              <w:spacing w:after="20"/>
            </w:pPr>
            <w:r>
              <w:rPr>
                <w:b w:val="0"/>
                <w:sz w:val="20"/>
              </w:rPr>
              <w:t>Depósito</w:t>
            </w:r>
          </w:p>
        </w:tc>
        <w:tc>
          <w:tcPr>
            <w:tcW w:type="dxa" w:w="3249"/>
            <w:tcW w:type="dxa" w:w="4100"/>
          </w:tcPr>
          <w:p>
            <w:pPr>
              <w:spacing w:after="20"/>
            </w:pPr>
            <w:r>
              <w:rPr>
                <w:b w:val="0"/>
                <w:sz w:val="20"/>
              </w:rPr>
              <w:t>Salida de Central. El diseño prevé Pick, Pack y Ship.</w:t>
            </w:r>
          </w:p>
        </w:tc>
      </w:tr>
      <w:tr>
        <w:tc>
          <w:tcPr>
            <w:tcW w:type="dxa" w:w="3249"/>
            <w:tcW w:type="dxa" w:w="3300"/>
          </w:tcPr>
          <w:p>
            <w:pPr>
              <w:spacing w:after="20"/>
            </w:pPr>
            <w:r>
              <w:rPr>
                <w:b w:val="0"/>
                <w:sz w:val="20"/>
              </w:rPr>
              <w:t>Recepción de la orden de traslado</w:t>
            </w:r>
          </w:p>
        </w:tc>
        <w:tc>
          <w:tcPr>
            <w:tcW w:type="dxa" w:w="3249"/>
            <w:tcW w:type="dxa" w:w="2000"/>
          </w:tcPr>
          <w:p>
            <w:pPr>
              <w:spacing w:after="20"/>
            </w:pPr>
            <w:r>
              <w:rPr>
                <w:b w:val="0"/>
                <w:sz w:val="20"/>
              </w:rPr>
              <w:t>Técnico / Instalaciones</w:t>
            </w:r>
          </w:p>
        </w:tc>
        <w:tc>
          <w:tcPr>
            <w:tcW w:type="dxa" w:w="3249"/>
            <w:tcW w:type="dxa" w:w="4100"/>
          </w:tcPr>
          <w:p>
            <w:pPr>
              <w:spacing w:after="20"/>
            </w:pPr>
            <w:r>
              <w:rPr>
                <w:b w:val="0"/>
                <w:sz w:val="20"/>
              </w:rPr>
              <w:t>Alta en el depósito del técnico; confirma la recepción.</w:t>
            </w:r>
          </w:p>
        </w:tc>
      </w:tr>
      <w:tr>
        <w:tc>
          <w:tcPr>
            <w:tcW w:type="dxa" w:w="3249"/>
            <w:tcW w:type="dxa" w:w="3300"/>
          </w:tcPr>
          <w:p>
            <w:pPr>
              <w:spacing w:after="20"/>
            </w:pPr>
            <w:r>
              <w:rPr>
                <w:b w:val="0"/>
                <w:sz w:val="20"/>
              </w:rPr>
              <w:t>Despacho de la orden de venta</w:t>
            </w:r>
          </w:p>
        </w:tc>
        <w:tc>
          <w:tcPr>
            <w:tcW w:type="dxa" w:w="3249"/>
            <w:tcW w:type="dxa" w:w="2000"/>
          </w:tcPr>
          <w:p>
            <w:pPr>
              <w:spacing w:after="20"/>
            </w:pPr>
            <w:r>
              <w:rPr>
                <w:b w:val="0"/>
                <w:sz w:val="20"/>
              </w:rPr>
              <w:t>Instalaciones</w:t>
            </w:r>
          </w:p>
        </w:tc>
        <w:tc>
          <w:tcPr>
            <w:tcW w:type="dxa" w:w="3249"/>
            <w:tcW w:type="dxa" w:w="4100"/>
          </w:tcPr>
          <w:p>
            <w:pPr>
              <w:spacing w:after="20"/>
            </w:pPr>
            <w:r>
              <w:rPr>
                <w:b w:val="0"/>
                <w:sz w:val="20"/>
              </w:rPr>
              <w:t>Consumo del material desde el depósito del técnico.</w:t>
            </w:r>
          </w:p>
        </w:tc>
      </w:tr>
      <w:tr>
        <w:tc>
          <w:tcPr>
            <w:tcW w:type="dxa" w:w="3249"/>
            <w:tcW w:type="dxa" w:w="3300"/>
          </w:tcPr>
          <w:p>
            <w:pPr>
              <w:spacing w:after="20"/>
            </w:pPr>
            <w:r>
              <w:rPr>
                <w:b w:val="0"/>
                <w:sz w:val="20"/>
              </w:rPr>
              <w:t>Transferencia a Comodato CLIENTES</w:t>
            </w:r>
          </w:p>
        </w:tc>
        <w:tc>
          <w:tcPr>
            <w:tcW w:type="dxa" w:w="3249"/>
            <w:tcW w:type="dxa" w:w="2000"/>
          </w:tcPr>
          <w:p>
            <w:pPr>
              <w:spacing w:after="20"/>
            </w:pPr>
            <w:r>
              <w:rPr>
                <w:b w:val="0"/>
                <w:sz w:val="20"/>
              </w:rPr>
              <w:t>A definir</w:t>
            </w:r>
          </w:p>
        </w:tc>
        <w:tc>
          <w:tcPr>
            <w:tcW w:type="dxa" w:w="3249"/>
            <w:tcW w:type="dxa" w:w="4100"/>
          </w:tcPr>
          <w:p>
            <w:pPr>
              <w:spacing w:after="20"/>
            </w:pPr>
            <w:r>
              <w:rPr>
                <w:b w:val="0"/>
                <w:sz w:val="20"/>
              </w:rPr>
              <w:t>Registro del equipo instalado en comodato.</w:t>
            </w:r>
          </w:p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b/>
          <w:color w:val="3B5B8C"/>
          <w:sz w:val="22"/>
        </w:rPr>
        <w:t>Desvíos actuales a marcar como anotación</w:t>
      </w:r>
    </w:p>
    <w:p>
      <w:pPr>
        <w:pStyle w:val="ListBullet"/>
        <w:spacing w:after="40"/>
      </w:pPr>
      <w:r>
        <w:rPr>
          <w:b/>
        </w:rPr>
        <w:t>Dos circuitos Central → técnico:</w:t>
      </w:r>
      <w:r>
        <w:rPr>
          <w:b w:val="0"/>
        </w:rPr>
        <w:t xml:space="preserve"> conviven órdenes de traslado y transferencias directas; la transferencia directa no deja registro de recepción del técnico.</w:t>
      </w:r>
    </w:p>
    <w:p>
      <w:pPr>
        <w:pStyle w:val="ListBullet"/>
        <w:spacing w:after="40"/>
      </w:pPr>
      <w:r>
        <w:rPr>
          <w:b/>
        </w:rPr>
        <w:t>Stock negativo en técnicos:</w:t>
      </w:r>
      <w:r>
        <w:rPr>
          <w:b w:val="0"/>
        </w:rPr>
        <w:t xml:space="preserve"> se consume desde la orden de venta aunque el técnico no tenga stock (158 líneas negativas al 05/10/2026).</w:t>
      </w:r>
    </w:p>
    <w:p>
      <w:pPr>
        <w:pStyle w:val="ListBullet"/>
        <w:spacing w:after="40"/>
      </w:pPr>
      <w:r>
        <w:rPr>
          <w:b/>
        </w:rPr>
        <w:t>Comodato con ajustes:</w:t>
      </w:r>
      <w:r>
        <w:rPr>
          <w:b w:val="0"/>
        </w:rPr>
        <w:t xml:space="preserve"> el alta en comodato se hace con pares de ajustes de inventario en lugar de una transferencia.</w:t>
      </w:r>
    </w:p>
    <w:p>
      <w:pPr>
        <w:pStyle w:val="ListBullet"/>
        <w:spacing w:after="40"/>
      </w:pPr>
      <w:r>
        <w:rPr>
          <w:b/>
        </w:rPr>
        <w:t>Comodato sin número de serie:</w:t>
      </w:r>
      <w:r>
        <w:rPr>
          <w:b w:val="0"/>
        </w:rPr>
        <w:t xml:space="preserve"> los equipos en comodato no salen con número de serie.</w:t>
      </w:r>
    </w:p>
    <w:p>
      <w:r>
        <w:rPr>
          <w:color w:val="595959"/>
        </w:rPr>
        <w:t>Fuente: Relevamiento Módulo Logística / Inventario NetSuite v3 (05/10/2026) y BRD 3K Sprint 2 (2021).</w:t>
      </w:r>
    </w:p>
    <w:p>
      <w:pPr>
        <w:keepNext/>
        <w:spacing w:before="240" w:after="80"/>
        <w:pBdr>
          <w:left w:val="single" w:sz="18" w:space="8" w:color="3B5B8C"/>
        </w:pBdr>
      </w:pPr>
      <w:r>
        <w:rPr>
          <w:b/>
          <w:color w:val="1F2A44"/>
          <w:sz w:val="26"/>
        </w:rPr>
        <w:t>Mapa de procesos</w:t>
      </w:r>
    </w:p>
    <w:p>
      <w:r>
        <w:rPr>
          <w:color w:val="595959"/>
        </w:rPr>
        <w:t>Nueve procesos en la cadena de valor del cliente y de apoyo, más Monitoreo de alarmas como servicio principal. Nombres tentativos: se modelan de a uno; por ahora solo se fija su alcance. Los procesos 2 a 7 se publican juntos en la web como el proceso Servicio al cliente activo (19/10).</w:t>
      </w:r>
    </w:p>
    <w:tbl>
      <w:tblPr>
        <w:tblW w:type="auto" w:w="0"/>
        <w:tblLook w:firstColumn="1" w:firstRow="1" w:lastColumn="0" w:lastRow="0" w:noHBand="0" w:noVBand="1" w:val="04A0"/>
        <w:jc w:val="center"/>
        <w:tblLayout w:type="fixed"/>
        <w:tblBorders>
          <w:top w:val="single" w:sz="4" w:color="D9DEE7"/>
          <w:left w:val="single" w:sz="4" w:color="D9DEE7"/>
          <w:bottom w:val="single" w:sz="4" w:color="D9DEE7"/>
          <w:right w:val="single" w:sz="4" w:color="D9DEE7"/>
          <w:insideH w:val="single" w:sz="4" w:color="D9DEE7"/>
          <w:insideV w:val="single" w:sz="4" w:color="D9DEE7"/>
        </w:tblBorders>
      </w:tblPr>
      <w:tblGrid>
        <w:gridCol w:w="2400"/>
        <w:gridCol w:w="2000"/>
        <w:gridCol w:w="2300"/>
        <w:gridCol w:w="1500"/>
        <w:gridCol w:w="1200"/>
      </w:tblGrid>
      <w:tr>
        <w:trPr>
          <w:tblHeader w:val="true"/>
        </w:trPr>
        <w:tc>
          <w:tcPr>
            <w:tcW w:type="dxa" w:w="1949"/>
            <w:tcW w:type="dxa" w:w="24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Proceso</w:t>
            </w:r>
          </w:p>
        </w:tc>
        <w:tc>
          <w:tcPr>
            <w:tcW w:type="dxa" w:w="1949"/>
            <w:tcW w:type="dxa" w:w="20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Empieza con</w:t>
            </w:r>
          </w:p>
        </w:tc>
        <w:tc>
          <w:tcPr>
            <w:tcW w:type="dxa" w:w="1949"/>
            <w:tcW w:type="dxa" w:w="23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Termina con</w:t>
            </w:r>
          </w:p>
        </w:tc>
        <w:tc>
          <w:tcPr>
            <w:tcW w:type="dxa" w:w="1949"/>
            <w:tcW w:type="dxa" w:w="15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Área dueña</w:t>
            </w:r>
          </w:p>
        </w:tc>
        <w:tc>
          <w:tcPr>
            <w:tcW w:type="dxa" w:w="1949"/>
            <w:tcW w:type="dxa" w:w="12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9745"/>
            <w:tcW w:type="dxa" w:w="2400"/>
            <w:gridSpan w:val="5"/>
            <w:shd w:val="clear" w:color="auto" w:fill="EEF2F7"/>
          </w:tcPr>
          <w:p>
            <w:pPr>
              <w:spacing w:after="20"/>
            </w:pPr>
            <w:r>
              <w:rPr>
                <w:b/>
                <w:sz w:val="20"/>
              </w:rPr>
              <w:t>Incorporación de clientes</w:t>
            </w:r>
          </w:p>
        </w:tc>
      </w:tr>
      <w:tr>
        <w:tc>
          <w:tcPr>
            <w:tcW w:type="dxa" w:w="1949"/>
            <w:tcW w:type="dxa" w:w="2400"/>
          </w:tcPr>
          <w:p>
            <w:pPr>
              <w:spacing w:after="20"/>
            </w:pPr>
            <w:r>
              <w:rPr>
                <w:b w:val="0"/>
                <w:sz w:val="20"/>
              </w:rPr>
              <w:t>1. Nuevos clientes con alarmas y/o cámaras</w:t>
            </w:r>
          </w:p>
        </w:tc>
        <w:tc>
          <w:tcPr>
            <w:tcW w:type="dxa" w:w="1949"/>
            <w:tcW w:type="dxa" w:w="2000"/>
          </w:tcPr>
          <w:p>
            <w:pPr>
              <w:spacing w:after="20"/>
            </w:pPr>
            <w:r>
              <w:rPr>
                <w:b w:val="0"/>
                <w:sz w:val="20"/>
              </w:rPr>
              <w:t>Primer contacto del prospecto</w:t>
            </w:r>
          </w:p>
        </w:tc>
        <w:tc>
          <w:tcPr>
            <w:tcW w:type="dxa" w:w="1949"/>
            <w:tcW w:type="dxa" w:w="2300"/>
          </w:tcPr>
          <w:p>
            <w:pPr>
              <w:spacing w:after="20"/>
            </w:pPr>
            <w:r>
              <w:rPr>
                <w:b w:val="0"/>
                <w:sz w:val="20"/>
              </w:rPr>
              <w:t>Control de calidad cerrado: cliente activo y conforme</w:t>
            </w:r>
          </w:p>
        </w:tc>
        <w:tc>
          <w:tcPr>
            <w:tcW w:type="dxa" w:w="1949"/>
            <w:tcW w:type="dxa" w:w="1500"/>
          </w:tcPr>
          <w:p>
            <w:pPr>
              <w:spacing w:after="20"/>
            </w:pPr>
            <w:r>
              <w:rPr>
                <w:b w:val="0"/>
                <w:sz w:val="20"/>
              </w:rPr>
              <w:t>A definir (varias áreas)</w:t>
            </w:r>
          </w:p>
        </w:tc>
        <w:tc>
          <w:tcPr>
            <w:tcW w:type="dxa" w:w="1949"/>
            <w:tcW w:type="dxa" w:w="1200"/>
          </w:tcPr>
          <w:p>
            <w:pPr>
              <w:spacing w:after="20"/>
            </w:pPr>
            <w:r>
              <w:rPr>
                <w:b w:val="0"/>
                <w:sz w:val="20"/>
              </w:rPr>
              <w:t>En modelado (3 diagramas BPMN)</w:t>
            </w:r>
          </w:p>
        </w:tc>
      </w:tr>
      <w:tr>
        <w:tc>
          <w:tcPr>
            <w:tcW w:type="dxa" w:w="9745"/>
            <w:tcW w:type="dxa" w:w="2400"/>
            <w:gridSpan w:val="5"/>
            <w:shd w:val="clear" w:color="auto" w:fill="EEF2F7"/>
          </w:tcPr>
          <w:p>
            <w:pPr>
              <w:spacing w:after="20"/>
            </w:pPr>
            <w:r>
              <w:rPr>
                <w:b/>
                <w:sz w:val="20"/>
              </w:rPr>
              <w:t>Servicio al cliente activo</w:t>
            </w:r>
          </w:p>
        </w:tc>
      </w:tr>
      <w:tr>
        <w:tc>
          <w:tcPr>
            <w:tcW w:type="dxa" w:w="1949"/>
            <w:tcW w:type="dxa" w:w="2400"/>
          </w:tcPr>
          <w:p>
            <w:pPr>
              <w:spacing w:after="20"/>
            </w:pPr>
            <w:r>
              <w:rPr>
                <w:b w:val="0"/>
                <w:sz w:val="20"/>
              </w:rPr>
              <w:t>2. Atención al cliente activo</w:t>
            </w:r>
          </w:p>
        </w:tc>
        <w:tc>
          <w:tcPr>
            <w:tcW w:type="dxa" w:w="1949"/>
            <w:tcW w:type="dxa" w:w="2000"/>
          </w:tcPr>
          <w:p>
            <w:pPr>
              <w:spacing w:after="20"/>
            </w:pPr>
            <w:r>
              <w:rPr>
                <w:b w:val="0"/>
                <w:sz w:val="20"/>
              </w:rPr>
              <w:t>Contacto del cliente después del período de control de calidad, o hito 12</w:t>
            </w:r>
          </w:p>
        </w:tc>
        <w:tc>
          <w:tcPr>
            <w:tcW w:type="dxa" w:w="1949"/>
            <w:tcW w:type="dxa" w:w="2300"/>
          </w:tcPr>
          <w:p>
            <w:pPr>
              <w:spacing w:after="20"/>
            </w:pPr>
            <w:r>
              <w:rPr>
                <w:b w:val="0"/>
                <w:sz w:val="20"/>
              </w:rPr>
              <w:t>Solicitud administrativa resuelta, o solicitud derivada y registrada</w:t>
            </w:r>
          </w:p>
        </w:tc>
        <w:tc>
          <w:tcPr>
            <w:tcW w:type="dxa" w:w="1949"/>
            <w:tcW w:type="dxa" w:w="1500"/>
          </w:tcPr>
          <w:p>
            <w:pPr>
              <w:spacing w:after="20"/>
            </w:pPr>
            <w:r>
              <w:rPr>
                <w:b w:val="0"/>
                <w:sz w:val="20"/>
              </w:rPr>
              <w:t>Atención al Cliente</w:t>
            </w:r>
          </w:p>
        </w:tc>
        <w:tc>
          <w:tcPr>
            <w:tcW w:type="dxa" w:w="1949"/>
            <w:tcW w:type="dxa" w:w="1200"/>
          </w:tcPr>
          <w:p>
            <w:pPr>
              <w:spacing w:after="20"/>
            </w:pPr>
            <w:r>
              <w:rPr>
                <w:b w:val="0"/>
                <w:sz w:val="20"/>
              </w:rPr>
              <w:t>Ficha v0.1 (Servicio al cliente activo)</w:t>
            </w:r>
          </w:p>
        </w:tc>
      </w:tr>
      <w:tr>
        <w:tc>
          <w:tcPr>
            <w:tcW w:type="dxa" w:w="1949"/>
            <w:tcW w:type="dxa" w:w="2400"/>
          </w:tcPr>
          <w:p>
            <w:pPr>
              <w:spacing w:after="20"/>
            </w:pPr>
            <w:r>
              <w:rPr>
                <w:b w:val="0"/>
                <w:sz w:val="20"/>
              </w:rPr>
              <w:t>3. Mantenimiento correctivo y reclamos técnicos</w:t>
            </w:r>
          </w:p>
        </w:tc>
        <w:tc>
          <w:tcPr>
            <w:tcW w:type="dxa" w:w="1949"/>
            <w:tcW w:type="dxa" w:w="2000"/>
          </w:tcPr>
          <w:p>
            <w:pPr>
              <w:spacing w:after="20"/>
            </w:pPr>
            <w:r>
              <w:rPr>
                <w:b w:val="0"/>
                <w:sz w:val="20"/>
              </w:rPr>
              <w:t>Caso técnico: hito 11, derivación de Atención o central de monitoreo</w:t>
            </w:r>
          </w:p>
        </w:tc>
        <w:tc>
          <w:tcPr>
            <w:tcW w:type="dxa" w:w="1949"/>
            <w:tcW w:type="dxa" w:w="2300"/>
          </w:tcPr>
          <w:p>
            <w:pPr>
              <w:spacing w:after="20"/>
            </w:pPr>
            <w:r>
              <w:rPr>
                <w:b w:val="0"/>
                <w:sz w:val="20"/>
              </w:rPr>
              <w:t>Falla resuelta y cierre confirmado con el cliente</w:t>
            </w:r>
          </w:p>
        </w:tc>
        <w:tc>
          <w:tcPr>
            <w:tcW w:type="dxa" w:w="1949"/>
            <w:tcW w:type="dxa" w:w="1500"/>
          </w:tcPr>
          <w:p>
            <w:pPr>
              <w:spacing w:after="20"/>
            </w:pPr>
            <w:r>
              <w:rPr>
                <w:b w:val="0"/>
                <w:sz w:val="20"/>
              </w:rPr>
              <w:t>Servicio Técnico</w:t>
            </w:r>
          </w:p>
        </w:tc>
        <w:tc>
          <w:tcPr>
            <w:tcW w:type="dxa" w:w="1949"/>
            <w:tcW w:type="dxa" w:w="1200"/>
          </w:tcPr>
          <w:p>
            <w:pPr>
              <w:spacing w:after="20"/>
            </w:pPr>
            <w:r>
              <w:rPr>
                <w:b w:val="0"/>
                <w:sz w:val="20"/>
              </w:rPr>
              <w:t>Ficha v0.1 (Servicio al cliente activo)</w:t>
            </w:r>
          </w:p>
        </w:tc>
      </w:tr>
      <w:tr>
        <w:tc>
          <w:tcPr>
            <w:tcW w:type="dxa" w:w="1949"/>
            <w:tcW w:type="dxa" w:w="2400"/>
          </w:tcPr>
          <w:p>
            <w:pPr>
              <w:spacing w:after="20"/>
            </w:pPr>
            <w:r>
              <w:rPr>
                <w:b w:val="0"/>
                <w:sz w:val="20"/>
              </w:rPr>
              <w:t>4. Mantenimiento preventivo</w:t>
            </w:r>
          </w:p>
        </w:tc>
        <w:tc>
          <w:tcPr>
            <w:tcW w:type="dxa" w:w="1949"/>
            <w:tcW w:type="dxa" w:w="2000"/>
          </w:tcPr>
          <w:p>
            <w:pPr>
              <w:spacing w:after="20"/>
            </w:pPr>
            <w:r>
              <w:rPr>
                <w:b w:val="0"/>
                <w:sz w:val="20"/>
              </w:rPr>
              <w:t>Calendario de revisiones</w:t>
            </w:r>
          </w:p>
        </w:tc>
        <w:tc>
          <w:tcPr>
            <w:tcW w:type="dxa" w:w="1949"/>
            <w:tcW w:type="dxa" w:w="2300"/>
          </w:tcPr>
          <w:p>
            <w:pPr>
              <w:spacing w:after="20"/>
            </w:pPr>
            <w:r>
              <w:rPr>
                <w:b w:val="0"/>
                <w:sz w:val="20"/>
              </w:rPr>
              <w:t>Revisión registrada (puede abrir un correctivo)</w:t>
            </w:r>
          </w:p>
        </w:tc>
        <w:tc>
          <w:tcPr>
            <w:tcW w:type="dxa" w:w="1949"/>
            <w:tcW w:type="dxa" w:w="1500"/>
          </w:tcPr>
          <w:p>
            <w:pPr>
              <w:spacing w:after="20"/>
            </w:pPr>
            <w:r>
              <w:rPr>
                <w:b w:val="0"/>
                <w:sz w:val="20"/>
              </w:rPr>
              <w:t>Servicio Técnico</w:t>
            </w:r>
          </w:p>
        </w:tc>
        <w:tc>
          <w:tcPr>
            <w:tcW w:type="dxa" w:w="1949"/>
            <w:tcW w:type="dxa" w:w="1200"/>
          </w:tcPr>
          <w:p>
            <w:pPr>
              <w:spacing w:after="20"/>
            </w:pPr>
            <w:r>
              <w:rPr>
                <w:b w:val="0"/>
                <w:sz w:val="20"/>
              </w:rPr>
              <w:t>Planteado</w:t>
            </w:r>
          </w:p>
        </w:tc>
      </w:tr>
      <w:tr>
        <w:tc>
          <w:tcPr>
            <w:tcW w:type="dxa" w:w="1949"/>
            <w:tcW w:type="dxa" w:w="2400"/>
          </w:tcPr>
          <w:p>
            <w:pPr>
              <w:spacing w:after="20"/>
            </w:pPr>
            <w:r>
              <w:rPr>
                <w:b w:val="0"/>
                <w:sz w:val="20"/>
              </w:rPr>
              <w:t>10. Monitoreo de alarmas</w:t>
            </w:r>
          </w:p>
        </w:tc>
        <w:tc>
          <w:tcPr>
            <w:tcW w:type="dxa" w:w="1949"/>
            <w:tcW w:type="dxa" w:w="2000"/>
          </w:tcPr>
          <w:p>
            <w:pPr>
              <w:spacing w:after="20"/>
            </w:pPr>
            <w:r>
              <w:rPr>
                <w:b w:val="0"/>
                <w:sz w:val="20"/>
              </w:rPr>
              <w:t>Evento recibido en la central</w:t>
            </w:r>
          </w:p>
        </w:tc>
        <w:tc>
          <w:tcPr>
            <w:tcW w:type="dxa" w:w="1949"/>
            <w:tcW w:type="dxa" w:w="2300"/>
          </w:tcPr>
          <w:p>
            <w:pPr>
              <w:spacing w:after="20"/>
            </w:pPr>
            <w:r>
              <w:rPr>
                <w:b w:val="0"/>
                <w:sz w:val="20"/>
              </w:rPr>
              <w:t>Evento atendido y cerrado</w:t>
            </w:r>
          </w:p>
        </w:tc>
        <w:tc>
          <w:tcPr>
            <w:tcW w:type="dxa" w:w="1949"/>
            <w:tcW w:type="dxa" w:w="1500"/>
          </w:tcPr>
          <w:p>
            <w:pPr>
              <w:spacing w:after="20"/>
            </w:pPr>
            <w:r>
              <w:rPr>
                <w:b w:val="0"/>
                <w:sz w:val="20"/>
              </w:rPr>
              <w:t>A confirmar</w:t>
            </w:r>
          </w:p>
        </w:tc>
        <w:tc>
          <w:tcPr>
            <w:tcW w:type="dxa" w:w="1949"/>
            <w:tcW w:type="dxa" w:w="1200"/>
          </w:tcPr>
          <w:p>
            <w:pPr>
              <w:spacing w:after="20"/>
            </w:pPr>
            <w:r>
              <w:rPr>
                <w:b w:val="0"/>
                <w:sz w:val="20"/>
              </w:rPr>
              <w:t>Planteado</w:t>
            </w:r>
          </w:p>
        </w:tc>
      </w:tr>
      <w:tr>
        <w:tc>
          <w:tcPr>
            <w:tcW w:type="dxa" w:w="9745"/>
            <w:tcW w:type="dxa" w:w="2400"/>
            <w:gridSpan w:val="5"/>
            <w:shd w:val="clear" w:color="auto" w:fill="EEF2F7"/>
          </w:tcPr>
          <w:p>
            <w:pPr>
              <w:spacing w:after="20"/>
            </w:pPr>
            <w:r>
              <w:rPr>
                <w:b/>
                <w:sz w:val="20"/>
              </w:rPr>
              <w:t>Desarrollo y retención</w:t>
            </w:r>
          </w:p>
        </w:tc>
      </w:tr>
      <w:tr>
        <w:tc>
          <w:tcPr>
            <w:tcW w:type="dxa" w:w="1949"/>
            <w:tcW w:type="dxa" w:w="2400"/>
          </w:tcPr>
          <w:p>
            <w:pPr>
              <w:spacing w:after="20"/>
            </w:pPr>
            <w:r>
              <w:rPr>
                <w:b w:val="0"/>
                <w:sz w:val="20"/>
              </w:rPr>
              <w:t>5. Ampliaciones</w:t>
            </w:r>
          </w:p>
        </w:tc>
        <w:tc>
          <w:tcPr>
            <w:tcW w:type="dxa" w:w="1949"/>
            <w:tcW w:type="dxa" w:w="2000"/>
          </w:tcPr>
          <w:p>
            <w:pPr>
              <w:spacing w:after="20"/>
            </w:pPr>
            <w:r>
              <w:rPr>
                <w:b w:val="0"/>
                <w:sz w:val="20"/>
              </w:rPr>
              <w:t>Nueva necesidad de un cliente actual</w:t>
            </w:r>
          </w:p>
        </w:tc>
        <w:tc>
          <w:tcPr>
            <w:tcW w:type="dxa" w:w="1949"/>
            <w:tcW w:type="dxa" w:w="2300"/>
          </w:tcPr>
          <w:p>
            <w:pPr>
              <w:spacing w:after="20"/>
            </w:pPr>
            <w:r>
              <w:rPr>
                <w:b w:val="0"/>
                <w:sz w:val="20"/>
              </w:rPr>
              <w:t>Ampliación instalada y cobrada</w:t>
            </w:r>
          </w:p>
        </w:tc>
        <w:tc>
          <w:tcPr>
            <w:tcW w:type="dxa" w:w="1949"/>
            <w:tcW w:type="dxa" w:w="1500"/>
          </w:tcPr>
          <w:p>
            <w:pPr>
              <w:spacing w:after="20"/>
            </w:pPr>
            <w:r>
              <w:rPr>
                <w:b w:val="0"/>
                <w:sz w:val="20"/>
              </w:rPr>
              <w:t>Ampliaciones</w:t>
            </w:r>
          </w:p>
        </w:tc>
        <w:tc>
          <w:tcPr>
            <w:tcW w:type="dxa" w:w="1949"/>
            <w:tcW w:type="dxa" w:w="1200"/>
          </w:tcPr>
          <w:p>
            <w:pPr>
              <w:spacing w:after="20"/>
            </w:pPr>
            <w:r>
              <w:rPr>
                <w:b w:val="0"/>
                <w:sz w:val="20"/>
              </w:rPr>
              <w:t>Planteado</w:t>
            </w:r>
          </w:p>
        </w:tc>
      </w:tr>
      <w:tr>
        <w:tc>
          <w:tcPr>
            <w:tcW w:type="dxa" w:w="1949"/>
            <w:tcW w:type="dxa" w:w="2400"/>
          </w:tcPr>
          <w:p>
            <w:pPr>
              <w:spacing w:after="20"/>
            </w:pPr>
            <w:r>
              <w:rPr>
                <w:b w:val="0"/>
                <w:sz w:val="20"/>
              </w:rPr>
              <w:t>6. Bajas y retención</w:t>
            </w:r>
          </w:p>
        </w:tc>
        <w:tc>
          <w:tcPr>
            <w:tcW w:type="dxa" w:w="1949"/>
            <w:tcW w:type="dxa" w:w="2000"/>
          </w:tcPr>
          <w:p>
            <w:pPr>
              <w:spacing w:after="20"/>
            </w:pPr>
            <w:r>
              <w:rPr>
                <w:b w:val="0"/>
                <w:sz w:val="20"/>
              </w:rPr>
              <w:t>Pedido de baja o mora no resuelta</w:t>
            </w:r>
          </w:p>
        </w:tc>
        <w:tc>
          <w:tcPr>
            <w:tcW w:type="dxa" w:w="1949"/>
            <w:tcW w:type="dxa" w:w="2300"/>
          </w:tcPr>
          <w:p>
            <w:pPr>
              <w:spacing w:after="20"/>
            </w:pPr>
            <w:r>
              <w:rPr>
                <w:b w:val="0"/>
                <w:sz w:val="20"/>
              </w:rPr>
              <w:t>Cliente retenido, o baja formalizada con equipo retirado y reingresado a Depósito</w:t>
            </w:r>
          </w:p>
        </w:tc>
        <w:tc>
          <w:tcPr>
            <w:tcW w:type="dxa" w:w="1949"/>
            <w:tcW w:type="dxa" w:w="1500"/>
          </w:tcPr>
          <w:p>
            <w:pPr>
              <w:spacing w:after="20"/>
            </w:pPr>
            <w:r>
              <w:rPr>
                <w:b w:val="0"/>
                <w:sz w:val="20"/>
              </w:rPr>
              <w:t>Atención al Cliente</w:t>
            </w:r>
          </w:p>
        </w:tc>
        <w:tc>
          <w:tcPr>
            <w:tcW w:type="dxa" w:w="1949"/>
            <w:tcW w:type="dxa" w:w="1200"/>
          </w:tcPr>
          <w:p>
            <w:pPr>
              <w:spacing w:after="20"/>
            </w:pPr>
            <w:r>
              <w:rPr>
                <w:b w:val="0"/>
                <w:sz w:val="20"/>
              </w:rPr>
              <w:t>Planteado</w:t>
            </w:r>
          </w:p>
        </w:tc>
      </w:tr>
      <w:tr>
        <w:tc>
          <w:tcPr>
            <w:tcW w:type="dxa" w:w="9745"/>
            <w:tcW w:type="dxa" w:w="2400"/>
            <w:gridSpan w:val="5"/>
            <w:shd w:val="clear" w:color="auto" w:fill="EEF2F7"/>
          </w:tcPr>
          <w:p>
            <w:pPr>
              <w:spacing w:after="20"/>
            </w:pPr>
            <w:r>
              <w:rPr>
                <w:b/>
                <w:sz w:val="20"/>
              </w:rPr>
              <w:t>Gestión económica del cliente</w:t>
            </w:r>
          </w:p>
        </w:tc>
      </w:tr>
      <w:tr>
        <w:tc>
          <w:tcPr>
            <w:tcW w:type="dxa" w:w="1949"/>
            <w:tcW w:type="dxa" w:w="2400"/>
          </w:tcPr>
          <w:p>
            <w:pPr>
              <w:spacing w:after="20"/>
            </w:pPr>
            <w:r>
              <w:rPr>
                <w:b w:val="0"/>
                <w:sz w:val="20"/>
              </w:rPr>
              <w:t>7. Cobranza recurrente y gestión de mora</w:t>
            </w:r>
          </w:p>
        </w:tc>
        <w:tc>
          <w:tcPr>
            <w:tcW w:type="dxa" w:w="1949"/>
            <w:tcW w:type="dxa" w:w="2000"/>
          </w:tcPr>
          <w:p>
            <w:pPr>
              <w:spacing w:after="20"/>
            </w:pPr>
            <w:r>
              <w:rPr>
                <w:b w:val="0"/>
                <w:sz w:val="20"/>
              </w:rPr>
              <w:t>Ciclo mensual de facturación</w:t>
            </w:r>
          </w:p>
        </w:tc>
        <w:tc>
          <w:tcPr>
            <w:tcW w:type="dxa" w:w="1949"/>
            <w:tcW w:type="dxa" w:w="2300"/>
          </w:tcPr>
          <w:p>
            <w:pPr>
              <w:spacing w:after="20"/>
            </w:pPr>
            <w:r>
              <w:rPr>
                <w:b w:val="0"/>
                <w:sz w:val="20"/>
              </w:rPr>
              <w:t>Abono cobrado, o mora derivada a Bajas</w:t>
            </w:r>
          </w:p>
        </w:tc>
        <w:tc>
          <w:tcPr>
            <w:tcW w:type="dxa" w:w="1949"/>
            <w:tcW w:type="dxa" w:w="1500"/>
          </w:tcPr>
          <w:p>
            <w:pPr>
              <w:spacing w:after="20"/>
            </w:pPr>
            <w:r>
              <w:rPr>
                <w:b w:val="0"/>
                <w:sz w:val="20"/>
              </w:rPr>
              <w:t>Atención al Cliente</w:t>
            </w:r>
          </w:p>
        </w:tc>
        <w:tc>
          <w:tcPr>
            <w:tcW w:type="dxa" w:w="1949"/>
            <w:tcW w:type="dxa" w:w="1200"/>
          </w:tcPr>
          <w:p>
            <w:pPr>
              <w:spacing w:after="20"/>
            </w:pPr>
            <w:r>
              <w:rPr>
                <w:b w:val="0"/>
                <w:sz w:val="20"/>
              </w:rPr>
              <w:t>Planteado</w:t>
            </w:r>
          </w:p>
        </w:tc>
      </w:tr>
      <w:tr>
        <w:tc>
          <w:tcPr>
            <w:tcW w:type="dxa" w:w="9745"/>
            <w:tcW w:type="dxa" w:w="2400"/>
            <w:gridSpan w:val="5"/>
            <w:shd w:val="clear" w:color="auto" w:fill="EEF2F7"/>
          </w:tcPr>
          <w:p>
            <w:pPr>
              <w:spacing w:after="20"/>
            </w:pPr>
            <w:r>
              <w:rPr>
                <w:b/>
                <w:sz w:val="20"/>
              </w:rPr>
              <w:t>Apoyo</w:t>
            </w:r>
          </w:p>
        </w:tc>
      </w:tr>
      <w:tr>
        <w:tc>
          <w:tcPr>
            <w:tcW w:type="dxa" w:w="1949"/>
            <w:tcW w:type="dxa" w:w="2400"/>
          </w:tcPr>
          <w:p>
            <w:pPr>
              <w:spacing w:after="20"/>
            </w:pPr>
            <w:r>
              <w:rPr>
                <w:b w:val="0"/>
                <w:sz w:val="20"/>
              </w:rPr>
              <w:t>8. Inventario y abastecimiento</w:t>
            </w:r>
          </w:p>
        </w:tc>
        <w:tc>
          <w:tcPr>
            <w:tcW w:type="dxa" w:w="1949"/>
            <w:tcW w:type="dxa" w:w="2000"/>
          </w:tcPr>
          <w:p>
            <w:pPr>
              <w:spacing w:after="20"/>
            </w:pPr>
            <w:r>
              <w:rPr>
                <w:b w:val="0"/>
                <w:sz w:val="20"/>
              </w:rPr>
              <w:t>Pedido de materiales o planificación sobre presupuestos comprometidos</w:t>
            </w:r>
          </w:p>
        </w:tc>
        <w:tc>
          <w:tcPr>
            <w:tcW w:type="dxa" w:w="1949"/>
            <w:tcW w:type="dxa" w:w="2300"/>
          </w:tcPr>
          <w:p>
            <w:pPr>
              <w:spacing w:after="20"/>
            </w:pPr>
            <w:r>
              <w:rPr>
                <w:b w:val="0"/>
                <w:sz w:val="20"/>
              </w:rPr>
              <w:t>Material entregado o recibido y stock registrado en NetSuite</w:t>
            </w:r>
          </w:p>
        </w:tc>
        <w:tc>
          <w:tcPr>
            <w:tcW w:type="dxa" w:w="1949"/>
            <w:tcW w:type="dxa" w:w="1500"/>
          </w:tcPr>
          <w:p>
            <w:pPr>
              <w:spacing w:after="20"/>
            </w:pPr>
            <w:r>
              <w:rPr>
                <w:b w:val="0"/>
                <w:sz w:val="20"/>
              </w:rPr>
              <w:t>Depósito</w:t>
            </w:r>
          </w:p>
        </w:tc>
        <w:tc>
          <w:tcPr>
            <w:tcW w:type="dxa" w:w="1949"/>
            <w:tcW w:type="dxa" w:w="1200"/>
          </w:tcPr>
          <w:p>
            <w:pPr>
              <w:spacing w:after="20"/>
            </w:pPr>
            <w:r>
              <w:rPr>
                <w:b w:val="0"/>
                <w:sz w:val="20"/>
              </w:rPr>
              <w:t>Planteado</w:t>
            </w:r>
          </w:p>
        </w:tc>
      </w:tr>
      <w:tr>
        <w:tc>
          <w:tcPr>
            <w:tcW w:type="dxa" w:w="1949"/>
            <w:tcW w:type="dxa" w:w="2400"/>
          </w:tcPr>
          <w:p>
            <w:pPr>
              <w:spacing w:after="20"/>
            </w:pPr>
            <w:r>
              <w:rPr>
                <w:b w:val="0"/>
                <w:sz w:val="20"/>
              </w:rPr>
              <w:t>9. Compras</w:t>
            </w:r>
          </w:p>
        </w:tc>
        <w:tc>
          <w:tcPr>
            <w:tcW w:type="dxa" w:w="1949"/>
            <w:tcW w:type="dxa" w:w="2000"/>
          </w:tcPr>
          <w:p>
            <w:pPr>
              <w:spacing w:after="20"/>
            </w:pPr>
            <w:r>
              <w:rPr>
                <w:b w:val="0"/>
                <w:sz w:val="20"/>
              </w:rPr>
              <w:t>Necesidad de reposición</w:t>
            </w:r>
          </w:p>
        </w:tc>
        <w:tc>
          <w:tcPr>
            <w:tcW w:type="dxa" w:w="1949"/>
            <w:tcW w:type="dxa" w:w="2300"/>
          </w:tcPr>
          <w:p>
            <w:pPr>
              <w:spacing w:after="20"/>
            </w:pPr>
            <w:r>
              <w:rPr>
                <w:b w:val="0"/>
                <w:sz w:val="20"/>
              </w:rPr>
              <w:t>Mercadería recibida en Central</w:t>
            </w:r>
          </w:p>
        </w:tc>
        <w:tc>
          <w:tcPr>
            <w:tcW w:type="dxa" w:w="1949"/>
            <w:tcW w:type="dxa" w:w="1500"/>
          </w:tcPr>
          <w:p>
            <w:pPr>
              <w:spacing w:after="20"/>
            </w:pPr>
            <w:r>
              <w:rPr>
                <w:b w:val="0"/>
                <w:sz w:val="20"/>
              </w:rPr>
              <w:t>A confirmar</w:t>
            </w:r>
          </w:p>
        </w:tc>
        <w:tc>
          <w:tcPr>
            <w:tcW w:type="dxa" w:w="1949"/>
            <w:tcW w:type="dxa" w:w="1200"/>
          </w:tcPr>
          <w:p>
            <w:pPr>
              <w:spacing w:after="20"/>
            </w:pPr>
            <w:r>
              <w:rPr>
                <w:b w:val="0"/>
                <w:sz w:val="20"/>
              </w:rPr>
              <w:t>Planteado</w:t>
            </w:r>
          </w:p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b/>
          <w:color w:val="3B5B8C"/>
          <w:sz w:val="22"/>
        </w:rPr>
        <w:t>Criterios de agrupación</w:t>
      </w:r>
    </w:p>
    <w:p>
      <w:pPr>
        <w:pStyle w:val="ListBullet"/>
        <w:spacing w:after="40"/>
      </w:pPr>
      <w:r>
        <w:rPr>
          <w:b/>
        </w:rPr>
        <w:t>Atención al cliente activo:</w:t>
      </w:r>
      <w:r>
        <w:rPr>
          <w:b w:val="0"/>
        </w:rPr>
        <w:t xml:space="preserve"> la clasificación y la gestión administrativa forman un solo proceso porque las hace la misma área, casi siempre en el mismo contacto. La clasificación es un paso al inicio del proceso.</w:t>
      </w:r>
    </w:p>
    <w:p>
      <w:pPr>
        <w:pStyle w:val="ListBullet"/>
        <w:spacing w:after="40"/>
      </w:pPr>
      <w:r>
        <w:rPr>
          <w:b/>
        </w:rPr>
        <w:t>Inventario y abastecimiento:</w:t>
      </w:r>
      <w:r>
        <w:rPr>
          <w:b w:val="0"/>
        </w:rPr>
        <w:t xml:space="preserve"> Depósito tiene una sola interfaz hacia afuera (pedidos, entregas y devoluciones) que usan Nuevos clientes, Correctivo, Ampliaciones y Bajas. Comodato, recuentos y ajustes quedan como subprocesos internos.</w:t>
      </w:r>
    </w:p>
    <w:p>
      <w:pPr>
        <w:pStyle w:val="ListBullet"/>
        <w:spacing w:after="40"/>
      </w:pPr>
      <w:r>
        <w:rPr>
          <w:b/>
        </w:rPr>
        <w:t>Monitoreo de alarmas:</w:t>
      </w:r>
      <w:r>
        <w:rPr>
          <w:b w:val="0"/>
        </w:rPr>
        <w:t xml:space="preserve"> es el servicio principal de la empresa y ya es una entrada a Correctivo. Se incluye en el mapa aunque se modele más adelante.</w:t>
      </w:r>
    </w:p>
    <w:p>
      <w:pPr>
        <w:pStyle w:val="ListBullet"/>
        <w:spacing w:after="40"/>
      </w:pPr>
      <w:r>
        <w:rPr>
          <w:b/>
        </w:rPr>
        <w:t>Procesos estratégicos:</w:t>
      </w:r>
      <w:r>
        <w:rPr>
          <w:b w:val="0"/>
        </w:rPr>
        <w:t xml:space="preserve"> planificación, marketing y mejora continua se nombran en el mapa del portal, sin modelar por ahora.</w:t>
      </w:r>
    </w:p>
    <w:p>
      <w:pPr>
        <w:keepNext/>
        <w:spacing w:before="240" w:after="80"/>
        <w:pBdr>
          <w:left w:val="single" w:sz="18" w:space="8" w:color="3B5B8C"/>
        </w:pBdr>
      </w:pPr>
      <w:r>
        <w:rPr>
          <w:b/>
          <w:color w:val="1F2A44"/>
          <w:sz w:val="26"/>
        </w:rPr>
        <w:t>Definiciones para el próximo proceso: Atención al cliente activo</w:t>
      </w:r>
    </w:p>
    <w:p>
      <w:pPr>
        <w:pStyle w:val="ListBullet"/>
        <w:spacing w:after="40"/>
      </w:pPr>
      <w:r>
        <w:rPr>
          <w:b/>
        </w:rPr>
        <w:t>Quién clasifica:</w:t>
      </w:r>
      <w:r>
        <w:rPr>
          <w:b w:val="0"/>
        </w:rPr>
        <w:t xml:space="preserve"> durante el período de control de calidad, Posventa es quien tiene contacto con el cliente y clasifica (hito 9, dentro de este proceso). Después de ese período, las consultas se derivan al área correspondiente y clasifica Atención al Cliente. Cuando se implemente el bot de GHL se revisa el proceso.</w:t>
      </w:r>
    </w:p>
    <w:p>
      <w:pPr>
        <w:pStyle w:val="ListBullet"/>
        <w:spacing w:after="40"/>
      </w:pPr>
      <w:r>
        <w:rPr>
          <w:b/>
        </w:rPr>
        <w:t>Canales de entrada:</w:t>
      </w:r>
      <w:r>
        <w:rPr>
          <w:b w:val="0"/>
        </w:rPr>
        <w:t xml:space="preserve"> WhatsApp (GHL), teléfono y correo. La central de monitoreo también es una entrada, pero solo para casos de Servicio Técnico fuera del horario de atención o en casos puntuales (a definir).</w:t>
      </w:r>
    </w:p>
    <w:p>
      <w:pPr>
        <w:pStyle w:val="ListBullet"/>
        <w:spacing w:after="40"/>
      </w:pPr>
      <w:r>
        <w:rPr>
          <w:b/>
        </w:rPr>
        <w:t>Categorías:</w:t>
      </w:r>
      <w:r>
        <w:rPr>
          <w:b w:val="0"/>
        </w:rPr>
        <w:t xml:space="preserve"> técnica, administrativa, comercial y baja.</w:t>
      </w:r>
    </w:p>
    <w:p>
      <w:pPr>
        <w:pStyle w:val="ListBullet"/>
        <w:spacing w:after="40"/>
      </w:pPr>
      <w:r>
        <w:rPr>
          <w:b/>
        </w:rPr>
        <w:t>Dónde vive cada cosa:</w:t>
      </w:r>
      <w:r>
        <w:rPr>
          <w:b w:val="0"/>
        </w:rPr>
        <w:t xml:space="preserve"> la categoría se asigna en Atención al cliente activo; el SLA se fija por categoría y se cumple y mide en el proceso que resuelve (por ejemplo, Mantenimiento correctivo para el caso técnico del hito 11).</w:t>
      </w:r>
    </w:p>
    <w:p>
      <w:pPr>
        <w:keepNext/>
        <w:spacing w:before="240" w:after="80"/>
        <w:pBdr>
          <w:left w:val="single" w:sz="18" w:space="8" w:color="3B5B8C"/>
        </w:pBdr>
      </w:pPr>
      <w:r>
        <w:rPr>
          <w:b/>
          <w:color w:val="1F2A44"/>
          <w:sz w:val="26"/>
        </w:rPr>
        <w:t>A definir</w:t>
      </w:r>
    </w:p>
    <w:tbl>
      <w:tblPr>
        <w:tblW w:type="auto" w:w="0"/>
        <w:tblLook w:firstColumn="1" w:firstRow="1" w:lastColumn="0" w:lastRow="0" w:noHBand="0" w:noVBand="1" w:val="04A0"/>
        <w:jc w:val="center"/>
        <w:tblLayout w:type="fixed"/>
        <w:tblBorders>
          <w:top w:val="single" w:sz="4" w:color="D9DEE7"/>
          <w:left w:val="single" w:sz="4" w:color="D9DEE7"/>
          <w:bottom w:val="single" w:sz="4" w:color="D9DEE7"/>
          <w:right w:val="single" w:sz="4" w:color="D9DEE7"/>
          <w:insideH w:val="single" w:sz="4" w:color="D9DEE7"/>
          <w:insideV w:val="single" w:sz="4" w:color="D9DEE7"/>
        </w:tblBorders>
      </w:tblPr>
      <w:tblGrid>
        <w:gridCol w:w="6400"/>
        <w:gridCol w:w="3000"/>
      </w:tblGrid>
      <w:tr>
        <w:trPr>
          <w:tblHeader w:val="true"/>
        </w:trPr>
        <w:tc>
          <w:tcPr>
            <w:tcW w:type="dxa" w:w="4873"/>
            <w:tcW w:type="dxa" w:w="64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4873"/>
            <w:tcW w:type="dxa" w:w="30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Proceso</w:t>
            </w:r>
          </w:p>
        </w:tc>
      </w:tr>
      <w:tr>
        <w:tc>
          <w:tcPr>
            <w:tcW w:type="dxa" w:w="4873"/>
            <w:tcW w:type="dxa" w:w="6400"/>
          </w:tcPr>
          <w:p>
            <w:pPr>
              <w:spacing w:after="20"/>
            </w:pPr>
            <w:r>
              <w:rPr>
                <w:b w:val="0"/>
                <w:sz w:val="20"/>
              </w:rPr>
              <w:t>Período de garantía posterior a la instalación: duración y tratamiento de las consultas del cliente.</w:t>
            </w:r>
          </w:p>
        </w:tc>
        <w:tc>
          <w:tcPr>
            <w:tcW w:type="dxa" w:w="4873"/>
            <w:tcW w:type="dxa" w:w="3000"/>
          </w:tcPr>
          <w:p>
            <w:pPr>
              <w:spacing w:after="20"/>
            </w:pPr>
            <w:r>
              <w:rPr>
                <w:b w:val="0"/>
                <w:sz w:val="20"/>
              </w:rPr>
              <w:t>Nuevos clientes / Atención al cliente activo</w:t>
            </w:r>
          </w:p>
        </w:tc>
      </w:tr>
      <w:tr>
        <w:tc>
          <w:tcPr>
            <w:tcW w:type="dxa" w:w="4873"/>
            <w:tcW w:type="dxa" w:w="6400"/>
          </w:tcPr>
          <w:p>
            <w:pPr>
              <w:spacing w:after="20"/>
            </w:pPr>
            <w:r>
              <w:rPr>
                <w:b w:val="0"/>
                <w:sz w:val="20"/>
              </w:rPr>
              <w:t>Atención fuera del horario y casos que toma la central de monitoreo.</w:t>
            </w:r>
          </w:p>
        </w:tc>
        <w:tc>
          <w:tcPr>
            <w:tcW w:type="dxa" w:w="4873"/>
            <w:tcW w:type="dxa" w:w="3000"/>
          </w:tcPr>
          <w:p>
            <w:pPr>
              <w:spacing w:after="20"/>
            </w:pPr>
            <w:r>
              <w:rPr>
                <w:b w:val="0"/>
                <w:sz w:val="20"/>
              </w:rPr>
              <w:t>Atención al cliente activo</w:t>
            </w:r>
          </w:p>
        </w:tc>
      </w:tr>
      <w:tr>
        <w:tc>
          <w:tcPr>
            <w:tcW w:type="dxa" w:w="4873"/>
            <w:tcW w:type="dxa" w:w="6400"/>
          </w:tcPr>
          <w:p>
            <w:pPr>
              <w:spacing w:after="20"/>
            </w:pPr>
            <w:r>
              <w:rPr>
                <w:b w:val="0"/>
                <w:sz w:val="20"/>
              </w:rPr>
              <w:t>SLA por categoría.</w:t>
            </w:r>
          </w:p>
        </w:tc>
        <w:tc>
          <w:tcPr>
            <w:tcW w:type="dxa" w:w="4873"/>
            <w:tcW w:type="dxa" w:w="3000"/>
          </w:tcPr>
          <w:p>
            <w:pPr>
              <w:spacing w:after="20"/>
            </w:pPr>
            <w:r>
              <w:rPr>
                <w:b w:val="0"/>
                <w:sz w:val="20"/>
              </w:rPr>
              <w:t>Atención al cliente activo / procesos que resuelven</w:t>
            </w:r>
          </w:p>
        </w:tc>
      </w:tr>
      <w:tr>
        <w:tc>
          <w:tcPr>
            <w:tcW w:type="dxa" w:w="4873"/>
            <w:tcW w:type="dxa" w:w="6400"/>
          </w:tcPr>
          <w:p>
            <w:pPr>
              <w:spacing w:after="20"/>
            </w:pPr>
            <w:r>
              <w:rPr>
                <w:b w:val="0"/>
                <w:sz w:val="20"/>
              </w:rPr>
              <w:t>Qué hace el vendedor si no hay stock y en qué momento se reserva.</w:t>
            </w:r>
          </w:p>
        </w:tc>
        <w:tc>
          <w:tcPr>
            <w:tcW w:type="dxa" w:w="4873"/>
            <w:tcW w:type="dxa" w:w="3000"/>
          </w:tcPr>
          <w:p>
            <w:pPr>
              <w:spacing w:after="20"/>
            </w:pPr>
            <w:r>
              <w:rPr>
                <w:b w:val="0"/>
                <w:sz w:val="20"/>
              </w:rPr>
              <w:t>Nuevos clientes (etapa 4)</w:t>
            </w:r>
          </w:p>
        </w:tc>
      </w:tr>
      <w:tr>
        <w:tc>
          <w:tcPr>
            <w:tcW w:type="dxa" w:w="4873"/>
            <w:tcW w:type="dxa" w:w="6400"/>
          </w:tcPr>
          <w:p>
            <w:pPr>
              <w:spacing w:after="20"/>
            </w:pPr>
            <w:r>
              <w:rPr>
                <w:b w:val="0"/>
                <w:sz w:val="20"/>
              </w:rPr>
              <w:t>Tratamiento de sobrantes y de equipos instalados distinto a lo presupuestado, junto con el rediseño de documentos internos y aprobaciones de pendientes en NetSuite.</w:t>
            </w:r>
          </w:p>
        </w:tc>
        <w:tc>
          <w:tcPr>
            <w:tcW w:type="dxa" w:w="4873"/>
            <w:tcW w:type="dxa" w:w="3000"/>
          </w:tcPr>
          <w:p>
            <w:pPr>
              <w:spacing w:after="20"/>
            </w:pPr>
            <w:r>
              <w:rPr>
                <w:b w:val="0"/>
                <w:sz w:val="20"/>
              </w:rPr>
              <w:t>Nuevos clientes (etapa 9) / Inventario y abastecimiento</w:t>
            </w:r>
          </w:p>
        </w:tc>
      </w:tr>
      <w:tr>
        <w:tc>
          <w:tcPr>
            <w:tcW w:type="dxa" w:w="4873"/>
            <w:tcW w:type="dxa" w:w="6400"/>
          </w:tcPr>
          <w:p>
            <w:pPr>
              <w:spacing w:after="20"/>
            </w:pPr>
            <w:r>
              <w:rPr>
                <w:b w:val="0"/>
                <w:sz w:val="20"/>
              </w:rPr>
              <w:t>Registro del comodato con número de serie y quién lo carga.</w:t>
            </w:r>
          </w:p>
        </w:tc>
        <w:tc>
          <w:tcPr>
            <w:tcW w:type="dxa" w:w="4873"/>
            <w:tcW w:type="dxa" w:w="3000"/>
          </w:tcPr>
          <w:p>
            <w:pPr>
              <w:spacing w:after="20"/>
            </w:pPr>
            <w:r>
              <w:rPr>
                <w:b w:val="0"/>
                <w:sz w:val="20"/>
              </w:rPr>
              <w:t>Nuevos clientes (etapa 9)</w:t>
            </w:r>
          </w:p>
        </w:tc>
      </w:tr>
      <w:tr>
        <w:tc>
          <w:tcPr>
            <w:tcW w:type="dxa" w:w="4873"/>
            <w:tcW w:type="dxa" w:w="6400"/>
          </w:tcPr>
          <w:p>
            <w:pPr>
              <w:spacing w:after="20"/>
            </w:pPr>
            <w:r>
              <w:rPr>
                <w:b w:val="0"/>
                <w:sz w:val="20"/>
              </w:rPr>
              <w:t>Quién confirma con el cliente el cierre de cada solicitud.</w:t>
            </w:r>
          </w:p>
        </w:tc>
        <w:tc>
          <w:tcPr>
            <w:tcW w:type="dxa" w:w="4873"/>
            <w:tcW w:type="dxa" w:w="3000"/>
          </w:tcPr>
          <w:p>
            <w:pPr>
              <w:spacing w:after="20"/>
            </w:pPr>
            <w:r>
              <w:rPr>
                <w:b w:val="0"/>
                <w:sz w:val="20"/>
              </w:rPr>
              <w:t>Atención al cliente activo</w:t>
            </w:r>
          </w:p>
        </w:tc>
      </w:tr>
      <w:tr>
        <w:tc>
          <w:tcPr>
            <w:tcW w:type="dxa" w:w="4873"/>
            <w:tcW w:type="dxa" w:w="6400"/>
          </w:tcPr>
          <w:p>
            <w:pPr>
              <w:spacing w:after="20"/>
            </w:pPr>
            <w:r>
              <w:rPr>
                <w:b w:val="0"/>
                <w:sz w:val="20"/>
              </w:rPr>
              <w:t>Preventivo: si se hace hoy, frecuencia y quién lo programa.</w:t>
            </w:r>
          </w:p>
        </w:tc>
        <w:tc>
          <w:tcPr>
            <w:tcW w:type="dxa" w:w="4873"/>
            <w:tcW w:type="dxa" w:w="3000"/>
          </w:tcPr>
          <w:p>
            <w:pPr>
              <w:spacing w:after="20"/>
            </w:pPr>
            <w:r>
              <w:rPr>
                <w:b w:val="0"/>
                <w:sz w:val="20"/>
              </w:rPr>
              <w:t>Mantenimiento preventivo</w:t>
            </w:r>
          </w:p>
        </w:tc>
      </w:tr>
      <w:tr>
        <w:tc>
          <w:tcPr>
            <w:tcW w:type="dxa" w:w="4873"/>
            <w:tcW w:type="dxa" w:w="6400"/>
          </w:tcPr>
          <w:p>
            <w:pPr>
              <w:spacing w:after="20"/>
            </w:pPr>
            <w:r>
              <w:rPr>
                <w:b w:val="0"/>
                <w:sz w:val="20"/>
              </w:rPr>
              <w:t>Bajas en comodato: retiro del equipo (Instalaciones) y reingreso a Depósito.</w:t>
            </w:r>
          </w:p>
        </w:tc>
        <w:tc>
          <w:tcPr>
            <w:tcW w:type="dxa" w:w="4873"/>
            <w:tcW w:type="dxa" w:w="3000"/>
          </w:tcPr>
          <w:p>
            <w:pPr>
              <w:spacing w:after="20"/>
            </w:pPr>
            <w:r>
              <w:rPr>
                <w:b w:val="0"/>
                <w:sz w:val="20"/>
              </w:rPr>
              <w:t>Bajas y retención</w:t>
            </w:r>
          </w:p>
        </w:tc>
      </w:tr>
    </w:tbl>
    <w:p>
      <w:pPr>
        <w:spacing w:after="40"/>
      </w:pPr>
    </w:p>
    <w:p>
      <w:pPr>
        <w:keepNext/>
        <w:spacing w:before="240" w:after="80"/>
        <w:pBdr>
          <w:left w:val="single" w:sz="18" w:space="8" w:color="3B5B8C"/>
        </w:pBdr>
      </w:pPr>
      <w:r>
        <w:rPr>
          <w:b/>
          <w:color w:val="1F2A44"/>
          <w:sz w:val="26"/>
        </w:rPr>
        <w:t>Archivos del proceso</w:t>
      </w:r>
    </w:p>
    <w:tbl>
      <w:tblPr>
        <w:tblW w:type="auto" w:w="0"/>
        <w:tblLook w:firstColumn="1" w:firstRow="1" w:lastColumn="0" w:lastRow="0" w:noHBand="0" w:noVBand="1" w:val="04A0"/>
        <w:jc w:val="center"/>
        <w:tblLayout w:type="fixed"/>
        <w:tblBorders>
          <w:top w:val="single" w:sz="4" w:color="D9DEE7"/>
          <w:left w:val="single" w:sz="4" w:color="D9DEE7"/>
          <w:bottom w:val="single" w:sz="4" w:color="D9DEE7"/>
          <w:right w:val="single" w:sz="4" w:color="D9DEE7"/>
          <w:insideH w:val="single" w:sz="4" w:color="D9DEE7"/>
          <w:insideV w:val="single" w:sz="4" w:color="D9DEE7"/>
        </w:tblBorders>
      </w:tblPr>
      <w:tblGrid>
        <w:gridCol w:w="3600"/>
        <w:gridCol w:w="5800"/>
      </w:tblGrid>
      <w:tr>
        <w:trPr>
          <w:tblHeader w:val="true"/>
        </w:trPr>
        <w:tc>
          <w:tcPr>
            <w:tcW w:type="dxa" w:w="4873"/>
            <w:tcW w:type="dxa" w:w="36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Archivo</w:t>
            </w:r>
          </w:p>
        </w:tc>
        <w:tc>
          <w:tcPr>
            <w:tcW w:type="dxa" w:w="4873"/>
            <w:tcW w:type="dxa" w:w="58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Contenido</w:t>
            </w:r>
          </w:p>
        </w:tc>
      </w:tr>
      <w:tr>
        <w:tc>
          <w:tcPr>
            <w:tcW w:type="dxa" w:w="4873"/>
            <w:tcW w:type="dxa" w:w="3600"/>
          </w:tcPr>
          <w:p>
            <w:pPr>
              <w:spacing w:after="20"/>
            </w:pPr>
            <w:r>
              <w:rPr>
                <w:b w:val="0"/>
                <w:sz w:val="20"/>
              </w:rPr>
              <w:t>nuevos-clientes-venta-consultiva.bpmn</w:t>
            </w:r>
          </w:p>
        </w:tc>
        <w:tc>
          <w:tcPr>
            <w:tcW w:type="dxa" w:w="4873"/>
            <w:tcW w:type="dxa" w:w="5800"/>
          </w:tcPr>
          <w:p>
            <w:pPr>
              <w:spacing w:after="20"/>
            </w:pPr>
            <w:r>
              <w:rPr>
                <w:b w:val="0"/>
                <w:sz w:val="20"/>
              </w:rPr>
              <w:t>Etapas 1 a 5 (Ventas). Incluye la consulta de stock al elaborar el presupuesto.</w:t>
            </w:r>
          </w:p>
        </w:tc>
      </w:tr>
      <w:tr>
        <w:tc>
          <w:tcPr>
            <w:tcW w:type="dxa" w:w="4873"/>
            <w:tcW w:type="dxa" w:w="3600"/>
          </w:tcPr>
          <w:p>
            <w:pPr>
              <w:spacing w:after="20"/>
            </w:pPr>
            <w:r>
              <w:rPr>
                <w:b w:val="0"/>
                <w:sz w:val="20"/>
              </w:rPr>
              <w:t>nuevos-clientes-venta-cobro.bpmn</w:t>
            </w:r>
          </w:p>
        </w:tc>
        <w:tc>
          <w:tcPr>
            <w:tcW w:type="dxa" w:w="4873"/>
            <w:tcW w:type="dxa" w:w="5800"/>
          </w:tcPr>
          <w:p>
            <w:pPr>
              <w:spacing w:after="20"/>
            </w:pPr>
            <w:r>
              <w:rPr>
                <w:b w:val="0"/>
                <w:sz w:val="20"/>
              </w:rPr>
              <w:t>Etapas 6 y 7 (Ventas y Atención al Cliente), con la bienvenida. Hitos 1 y 2.</w:t>
            </w:r>
          </w:p>
        </w:tc>
      </w:tr>
      <w:tr>
        <w:tc>
          <w:tcPr>
            <w:tcW w:type="dxa" w:w="4873"/>
            <w:tcW w:type="dxa" w:w="3600"/>
          </w:tcPr>
          <w:p>
            <w:pPr>
              <w:spacing w:after="20"/>
            </w:pPr>
            <w:r>
              <w:rPr>
                <w:b w:val="0"/>
                <w:sz w:val="20"/>
              </w:rPr>
              <w:t>nuevos-clientes-instalacion-control.bpmn</w:t>
            </w:r>
          </w:p>
        </w:tc>
        <w:tc>
          <w:tcPr>
            <w:tcW w:type="dxa" w:w="4873"/>
            <w:tcW w:type="dxa" w:w="5800"/>
          </w:tcPr>
          <w:p>
            <w:pPr>
              <w:spacing w:after="20"/>
            </w:pPr>
            <w:r>
              <w:rPr>
                <w:b w:val="0"/>
                <w:sz w:val="20"/>
              </w:rPr>
              <w:t>Etapas 8 a 10 (Instalaciones, Depósito y Posventa). Hitos 3 a 12; salidas por los hitos 11 y 12.</w:t>
            </w:r>
          </w:p>
        </w:tc>
      </w:tr>
      <w:tr>
        <w:tc>
          <w:tcPr>
            <w:tcW w:type="dxa" w:w="4873"/>
            <w:tcW w:type="dxa" w:w="3600"/>
          </w:tcPr>
          <w:p>
            <w:pPr>
              <w:spacing w:after="20"/>
            </w:pPr>
            <w:r>
              <w:rPr>
                <w:b w:val="0"/>
                <w:sz w:val="20"/>
              </w:rPr>
              <w:t>matrices-responsabilidades.xlsx</w:t>
            </w:r>
          </w:p>
        </w:tc>
        <w:tc>
          <w:tcPr>
            <w:tcW w:type="dxa" w:w="4873"/>
            <w:tcW w:type="dxa" w:w="5800"/>
          </w:tcPr>
          <w:p>
            <w:pPr>
              <w:spacing w:after="20"/>
            </w:pPr>
            <w:r>
              <w:rPr>
                <w:b w:val="0"/>
                <w:sz w:val="20"/>
              </w:rPr>
              <w:t>Responsabilidades y comunicación por hito, con la columna Depósito y la numeración nueva de etapas.</w:t>
            </w:r>
          </w:p>
        </w:tc>
      </w:tr>
    </w:tbl>
    <w:p>
      <w:pPr>
        <w:spacing w:after="40"/>
      </w:pPr>
    </w:p>
    <w:p>
      <w:pPr>
        <w:keepNext/>
        <w:spacing w:before="240" w:after="80"/>
        <w:pBdr>
          <w:left w:val="single" w:sz="18" w:space="8" w:color="3B5B8C"/>
        </w:pBdr>
      </w:pPr>
      <w:r>
        <w:rPr>
          <w:b/>
          <w:color w:val="1F2A44"/>
          <w:sz w:val="26"/>
        </w:rPr>
        <w:t>Registro de cambios</w:t>
      </w:r>
    </w:p>
    <w:tbl>
      <w:tblPr>
        <w:tblW w:type="auto" w:w="0"/>
        <w:tblLook w:firstColumn="1" w:firstRow="1" w:lastColumn="0" w:lastRow="0" w:noHBand="0" w:noVBand="1" w:val="04A0"/>
        <w:jc w:val="center"/>
        <w:tblLayout w:type="fixed"/>
        <w:tblBorders>
          <w:top w:val="single" w:sz="4" w:color="D9DEE7"/>
          <w:left w:val="single" w:sz="4" w:color="D9DEE7"/>
          <w:bottom w:val="single" w:sz="4" w:color="D9DEE7"/>
          <w:right w:val="single" w:sz="4" w:color="D9DEE7"/>
          <w:insideH w:val="single" w:sz="4" w:color="D9DEE7"/>
          <w:insideV w:val="single" w:sz="4" w:color="D9DEE7"/>
        </w:tblBorders>
      </w:tblPr>
      <w:tblGrid>
        <w:gridCol w:w="1200"/>
        <w:gridCol w:w="1500"/>
        <w:gridCol w:w="6700"/>
      </w:tblGrid>
      <w:tr>
        <w:trPr>
          <w:tblHeader w:val="true"/>
        </w:trPr>
        <w:tc>
          <w:tcPr>
            <w:tcW w:type="dxa" w:w="3249"/>
            <w:tcW w:type="dxa" w:w="12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Versión</w:t>
            </w:r>
          </w:p>
        </w:tc>
        <w:tc>
          <w:tcPr>
            <w:tcW w:type="dxa" w:w="3249"/>
            <w:tcW w:type="dxa" w:w="15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49"/>
            <w:tcW w:type="dxa" w:w="6700"/>
            <w:shd w:val="clear" w:color="auto" w:fill="1F2A44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Cambio</w:t>
            </w:r>
          </w:p>
        </w:tc>
      </w:tr>
      <w:tr>
        <w:tc>
          <w:tcPr>
            <w:tcW w:type="dxa" w:w="3249"/>
            <w:tcW w:type="dxa" w:w="1200"/>
          </w:tcPr>
          <w:p>
            <w:pPr>
              <w:spacing w:after="20"/>
            </w:pPr>
            <w:r>
              <w:rPr>
                <w:b w:val="0"/>
                <w:sz w:val="20"/>
              </w:rPr>
              <w:t>v0.1</w:t>
            </w:r>
          </w:p>
        </w:tc>
        <w:tc>
          <w:tcPr>
            <w:tcW w:type="dxa" w:w="3249"/>
            <w:tcW w:type="dxa" w:w="1500"/>
          </w:tcPr>
          <w:p>
            <w:pPr>
              <w:spacing w:after="20"/>
            </w:pPr>
            <w:r>
              <w:rPr>
                <w:b w:val="0"/>
                <w:sz w:val="20"/>
              </w:rPr>
              <w:t>17/10/2026</w:t>
            </w:r>
          </w:p>
        </w:tc>
        <w:tc>
          <w:tcPr>
            <w:tcW w:type="dxa" w:w="3249"/>
            <w:tcW w:type="dxa" w:w="6700"/>
          </w:tcPr>
          <w:p>
            <w:pPr>
              <w:spacing w:after="20"/>
            </w:pPr>
            <w:r>
              <w:rPr>
                <w:b w:val="0"/>
                <w:sz w:val="20"/>
              </w:rPr>
              <w:t>Primera versión: alcance acotado, participación de Depósito y procesos relacionados.</w:t>
            </w:r>
          </w:p>
        </w:tc>
      </w:tr>
      <w:tr>
        <w:tc>
          <w:tcPr>
            <w:tcW w:type="dxa" w:w="3249"/>
            <w:tcW w:type="dxa" w:w="1200"/>
          </w:tcPr>
          <w:p>
            <w:pPr>
              <w:spacing w:after="20"/>
            </w:pPr>
            <w:r>
              <w:rPr>
                <w:b w:val="0"/>
                <w:sz w:val="20"/>
              </w:rPr>
              <w:t>v0.2</w:t>
            </w:r>
          </w:p>
        </w:tc>
        <w:tc>
          <w:tcPr>
            <w:tcW w:type="dxa" w:w="3249"/>
            <w:tcW w:type="dxa" w:w="1500"/>
          </w:tcPr>
          <w:p>
            <w:pPr>
              <w:spacing w:after="20"/>
            </w:pPr>
            <w:r>
              <w:rPr>
                <w:b w:val="0"/>
                <w:sz w:val="20"/>
              </w:rPr>
              <w:t>17/10/2026</w:t>
            </w:r>
          </w:p>
        </w:tc>
        <w:tc>
          <w:tcPr>
            <w:tcW w:type="dxa" w:w="3249"/>
            <w:tcW w:type="dxa" w:w="6700"/>
          </w:tcPr>
          <w:p>
            <w:pPr>
              <w:spacing w:after="20"/>
            </w:pPr>
            <w:r>
              <w:rPr>
                <w:b w:val="0"/>
                <w:sz w:val="20"/>
              </w:rPr>
              <w:t>Mapa de procesos: 10 procesos con alcance; Atención al cliente activo unifica clasificación y gestión administrativa; Inventario y abastecimiento unifica gestión de stock y abastecimiento; se suma Monitoreo de alarmas.</w:t>
            </w:r>
          </w:p>
        </w:tc>
      </w:tr>
      <w:tr>
        <w:tc>
          <w:tcPr>
            <w:tcW w:type="dxa" w:w="3249"/>
            <w:tcW w:type="dxa" w:w="1200"/>
          </w:tcPr>
          <w:p>
            <w:pPr>
              <w:spacing w:after="20"/>
            </w:pPr>
            <w:r>
              <w:rPr>
                <w:b w:val="0"/>
                <w:sz w:val="20"/>
              </w:rPr>
              <w:t>v0.3</w:t>
            </w:r>
          </w:p>
        </w:tc>
        <w:tc>
          <w:tcPr>
            <w:tcW w:type="dxa" w:w="3249"/>
            <w:tcW w:type="dxa" w:w="1500"/>
          </w:tcPr>
          <w:p>
            <w:pPr>
              <w:spacing w:after="20"/>
            </w:pPr>
            <w:r>
              <w:rPr>
                <w:b w:val="0"/>
                <w:sz w:val="20"/>
              </w:rPr>
              <w:t>19/10/2026</w:t>
            </w:r>
          </w:p>
        </w:tc>
        <w:tc>
          <w:tcPr>
            <w:tcW w:type="dxa" w:w="3249"/>
            <w:tcW w:type="dxa" w:w="6700"/>
          </w:tcPr>
          <w:p>
            <w:pPr>
              <w:spacing w:after="20"/>
            </w:pPr>
            <w:r>
              <w:rPr>
                <w:b w:val="0"/>
                <w:sz w:val="20"/>
              </w:rPr>
              <w:t>Cambios aplicados en la matriz y los BPMN; nuevo diagrama de instalación y control de calidad; fichas de Atención al cliente activo y Mantenimiento correctivo.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SP Seguridad Privada · Ficha del proceso Nuevos clientes con alarmas y/o cámaras · v0.3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