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A44"/>
          <w:sz w:val="40"/>
        </w:rPr>
        <w:t>Ficha del proceso: Atención al cliente activo</w:t>
      </w:r>
    </w:p>
    <w:p>
      <w:pPr>
        <w:spacing w:after="200"/>
      </w:pPr>
      <w:r>
        <w:rPr>
          <w:color w:val="595959"/>
          <w:sz w:val="22"/>
        </w:rPr>
        <w:t>SP Seguridad Privada · Procesos y Mejora Continua · v0.1 borrador · 19/10/2026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Objetivo</w:t>
      </w:r>
    </w:p>
    <w:p>
      <w:r>
        <w:t>Recibir, clasificar y resolver o derivar las solicitudes de los clientes activos una vez terminado el período de control de calidad posterior a la instalación.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Alcance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200"/>
        <w:gridCol w:w="7200"/>
      </w:tblGrid>
      <w:tr>
        <w:trPr>
          <w:tblHeader w:val="true"/>
        </w:trPr>
        <w:tc>
          <w:tcPr>
            <w:tcW w:type="dxa" w:w="4873"/>
            <w:tcW w:type="dxa" w:w="2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873"/>
            <w:tcW w:type="dxa" w:w="7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Inicio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Contacto de un cliente activo después del período de control de calidad, o situación administrativa derivada por Posventa (hito 12 del proceso Nuevos clientes).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Fin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Solicitud administrativa resuelta, o solicitud derivada al proceso que corresponde y registrada.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Incluye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Recepción y registro de la solicitud, clasificación, resolución de las solicitudes administrativas y derivación del resto.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No incluye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La resolución técnica (Mantenimiento correctivo), las ampliaciones, las bajas, la cobranza recurrente y las consultas durante el período de control de calidad (las atiende Posventa dentro de Nuevos clientes).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Criterio de modelado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Se modela el circuito objetivo; los desvíos actuales van como anotaciones.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Áreas participantes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200"/>
        <w:gridCol w:w="3000"/>
        <w:gridCol w:w="4200"/>
      </w:tblGrid>
      <w:tr>
        <w:trPr>
          <w:tblHeader w:val="true"/>
        </w:trPr>
        <w:tc>
          <w:tcPr>
            <w:tcW w:type="dxa" w:w="3249"/>
            <w:tcW w:type="dxa" w:w="2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Área (lane)</w:t>
            </w:r>
          </w:p>
        </w:tc>
        <w:tc>
          <w:tcPr>
            <w:tcW w:type="dxa" w:w="3249"/>
            <w:tcW w:type="dxa" w:w="3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Depende de</w:t>
            </w:r>
          </w:p>
        </w:tc>
        <w:tc>
          <w:tcPr>
            <w:tcW w:type="dxa" w:w="3249"/>
            <w:tcW w:type="dxa" w:w="4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Rol en el proceso</w:t>
            </w:r>
          </w:p>
        </w:tc>
      </w:tr>
      <w:tr>
        <w:tc>
          <w:tcPr>
            <w:tcW w:type="dxa" w:w="3249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</w:t>
            </w:r>
          </w:p>
        </w:tc>
        <w:tc>
          <w:tcPr>
            <w:tcW w:type="dxa" w:w="3249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Gerencia de Administración y Finanzas</w:t>
            </w:r>
          </w:p>
        </w:tc>
        <w:tc>
          <w:tcPr>
            <w:tcW w:type="dxa" w:w="3249"/>
            <w:tcW w:type="dxa" w:w="4200"/>
          </w:tcPr>
          <w:p>
            <w:pPr>
              <w:spacing w:after="20"/>
            </w:pPr>
            <w:r>
              <w:rPr>
                <w:b w:val="0"/>
                <w:sz w:val="20"/>
              </w:rPr>
              <w:t>Dueña. Recibe, clasifica y resuelve lo administrativo.</w:t>
            </w:r>
          </w:p>
        </w:tc>
      </w:tr>
      <w:tr>
        <w:tc>
          <w:tcPr>
            <w:tcW w:type="dxa" w:w="3249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Servicio Técnico</w:t>
            </w:r>
          </w:p>
        </w:tc>
        <w:tc>
          <w:tcPr>
            <w:tcW w:type="dxa" w:w="3249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249"/>
            <w:tcW w:type="dxa" w:w="4200"/>
          </w:tcPr>
          <w:p>
            <w:pPr>
              <w:spacing w:after="20"/>
            </w:pPr>
            <w:r>
              <w:rPr>
                <w:b w:val="0"/>
                <w:sz w:val="20"/>
              </w:rPr>
              <w:t>Recibe los casos técnicos derivados.</w:t>
            </w:r>
          </w:p>
        </w:tc>
      </w:tr>
      <w:tr>
        <w:tc>
          <w:tcPr>
            <w:tcW w:type="dxa" w:w="3249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Ampliaciones</w:t>
            </w:r>
          </w:p>
        </w:tc>
        <w:tc>
          <w:tcPr>
            <w:tcW w:type="dxa" w:w="3249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249"/>
            <w:tcW w:type="dxa" w:w="4200"/>
          </w:tcPr>
          <w:p>
            <w:pPr>
              <w:spacing w:after="20"/>
            </w:pPr>
            <w:r>
              <w:rPr>
                <w:b w:val="0"/>
                <w:sz w:val="20"/>
              </w:rPr>
              <w:t>Recibe las nuevas necesidades derivadas.</w:t>
            </w:r>
          </w:p>
        </w:tc>
      </w:tr>
      <w:tr>
        <w:tc>
          <w:tcPr>
            <w:tcW w:type="dxa" w:w="3249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Posventa</w:t>
            </w:r>
          </w:p>
        </w:tc>
        <w:tc>
          <w:tcPr>
            <w:tcW w:type="dxa" w:w="3249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249"/>
            <w:tcW w:type="dxa" w:w="4200"/>
          </w:tcPr>
          <w:p>
            <w:pPr>
              <w:spacing w:after="20"/>
            </w:pPr>
            <w:r>
              <w:rPr>
                <w:b w:val="0"/>
                <w:sz w:val="20"/>
              </w:rPr>
              <w:t>Deriva situaciones administrativas durante el período de control (hito 12).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Entradas y salidas</w:t>
      </w:r>
    </w:p>
    <w:p>
      <w:pPr>
        <w:keepNext/>
        <w:spacing w:before="160" w:after="60"/>
      </w:pPr>
      <w:r>
        <w:rPr>
          <w:b/>
          <w:color w:val="3B5B8C"/>
          <w:sz w:val="22"/>
        </w:rPr>
        <w:t>Entradas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5400"/>
        <w:gridCol w:w="4000"/>
      </w:tblGrid>
      <w:tr>
        <w:trPr>
          <w:tblHeader w:val="true"/>
        </w:trPr>
        <w:tc>
          <w:tcPr>
            <w:tcW w:type="dxa" w:w="4873"/>
            <w:tcW w:type="dxa" w:w="54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4873"/>
            <w:tcW w:type="dxa" w:w="4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Origen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Consulta o reclamo del cliente por WhatsApp (GHL), teléfono o correo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Cliente activo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Situación administrativa derivada (hito 12)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Nuevos clientes (Posventa)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b/>
          <w:color w:val="3B5B8C"/>
          <w:sz w:val="22"/>
        </w:rPr>
        <w:t>Salidas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5400"/>
        <w:gridCol w:w="4000"/>
      </w:tblGrid>
      <w:tr>
        <w:trPr>
          <w:tblHeader w:val="true"/>
        </w:trPr>
        <w:tc>
          <w:tcPr>
            <w:tcW w:type="dxa" w:w="4873"/>
            <w:tcW w:type="dxa" w:w="54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Salida</w:t>
            </w:r>
          </w:p>
        </w:tc>
        <w:tc>
          <w:tcPr>
            <w:tcW w:type="dxa" w:w="4873"/>
            <w:tcW w:type="dxa" w:w="4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Destino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Caso técnico derivado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Mantenimiento correctivo y reclamos técnicos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Nueva necesidad del cliente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Ampliaciones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Pedido de baja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Bajas y retención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Solicitud administrativa resuelta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Fin del proceso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Definiciones tomadas</w:t>
      </w:r>
    </w:p>
    <w:p>
      <w:pPr>
        <w:pStyle w:val="ListBullet"/>
        <w:spacing w:after="40"/>
      </w:pPr>
      <w:r>
        <w:rPr>
          <w:b/>
        </w:rPr>
        <w:t>Quién clasifica:</w:t>
      </w:r>
      <w:r>
        <w:rPr>
          <w:b w:val="0"/>
        </w:rPr>
        <w:t xml:space="preserve"> Atención al Cliente, después del período de control de calidad. Cuando se implemente el bot de GHL se revisa el proceso.</w:t>
      </w:r>
    </w:p>
    <w:p>
      <w:pPr>
        <w:pStyle w:val="ListBullet"/>
        <w:spacing w:after="40"/>
      </w:pPr>
      <w:r>
        <w:rPr>
          <w:b/>
        </w:rPr>
        <w:t>Canales de entrada:</w:t>
      </w:r>
      <w:r>
        <w:rPr>
          <w:b w:val="0"/>
        </w:rPr>
        <w:t xml:space="preserve"> WhatsApp (GHL), teléfono y correo.</w:t>
      </w:r>
    </w:p>
    <w:p>
      <w:pPr>
        <w:pStyle w:val="ListBullet"/>
        <w:spacing w:after="40"/>
      </w:pPr>
      <w:r>
        <w:rPr>
          <w:b/>
        </w:rPr>
        <w:t>Categorías:</w:t>
      </w:r>
      <w:r>
        <w:rPr>
          <w:b w:val="0"/>
        </w:rPr>
        <w:t xml:space="preserve"> técnica, administrativa, comercial y baja.</w:t>
      </w:r>
    </w:p>
    <w:p>
      <w:pPr>
        <w:pStyle w:val="ListBullet"/>
        <w:spacing w:after="40"/>
      </w:pPr>
      <w:r>
        <w:rPr>
          <w:b/>
        </w:rPr>
        <w:t>SLA:</w:t>
      </w:r>
      <w:r>
        <w:rPr>
          <w:b w:val="0"/>
        </w:rPr>
        <w:t xml:space="preserve"> se fija por categoría; se cumple y mide en el proceso que resuelve.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A definir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00"/>
        <w:gridCol w:w="4700"/>
      </w:tblGrid>
      <w:tr>
        <w:trPr>
          <w:tblHeader w:val="true"/>
        </w:trPr>
        <w:tc>
          <w:tcPr>
            <w:tcW w:type="dxa" w:w="4873"/>
            <w:tcW w:type="dxa" w:w="4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tcW w:type="dxa" w:w="4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Duración del período de garantía posterior a la instalación</w:t>
            </w:r>
          </w:p>
        </w:tc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Marca cuándo deja de clasificar Posventa y empieza este proceso.</w:t>
            </w:r>
          </w:p>
        </w:tc>
      </w:tr>
      <w:tr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fuera del horario</w:t>
            </w:r>
          </w:p>
        </w:tc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Qué casos toma la central de monitoreo.</w:t>
            </w:r>
          </w:p>
        </w:tc>
      </w:tr>
      <w:tr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SLA por categoría</w:t>
            </w:r>
          </w:p>
        </w:tc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Plazos de respuesta y de resolución.</w:t>
            </w:r>
          </w:p>
        </w:tc>
      </w:tr>
      <w:tr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Cierre con el cliente</w:t>
            </w:r>
          </w:p>
        </w:tc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Quién confirma que la solicitud quedó resuelta.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Registro de cambios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1500"/>
        <w:gridCol w:w="6700"/>
      </w:tblGrid>
      <w:tr>
        <w:trPr>
          <w:tblHeader w:val="true"/>
        </w:trPr>
        <w:tc>
          <w:tcPr>
            <w:tcW w:type="dxa" w:w="3249"/>
            <w:tcW w:type="dxa" w:w="1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249"/>
            <w:tcW w:type="dxa" w:w="15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249"/>
            <w:tcW w:type="dxa" w:w="6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Cambio</w:t>
            </w:r>
          </w:p>
        </w:tc>
      </w:tr>
      <w:tr>
        <w:tc>
          <w:tcPr>
            <w:tcW w:type="dxa" w:w="32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v0.1</w:t>
            </w:r>
          </w:p>
        </w:tc>
        <w:tc>
          <w:tcPr>
            <w:tcW w:type="dxa" w:w="32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19/10/2026</w:t>
            </w:r>
          </w:p>
        </w:tc>
        <w:tc>
          <w:tcPr>
            <w:tcW w:type="dxa" w:w="3249"/>
            <w:tcW w:type="dxa" w:w="6700"/>
          </w:tcPr>
          <w:p>
            <w:pPr>
              <w:spacing w:after="20"/>
            </w:pPr>
            <w:r>
              <w:rPr>
                <w:b w:val="0"/>
                <w:sz w:val="20"/>
              </w:rPr>
              <w:t>Primera versión: alcance según el mapa de procesos acordado el 17/10.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SP Seguridad Privada · Ficha del proceso Atención al cliente activo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