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2A44"/>
          <w:sz w:val="40"/>
        </w:rPr>
        <w:t>Ficha del proceso: Mantenimiento correctivo y reclamos técnicos</w:t>
      </w:r>
    </w:p>
    <w:p>
      <w:pPr>
        <w:spacing w:after="200"/>
      </w:pPr>
      <w:r>
        <w:rPr>
          <w:color w:val="595959"/>
          <w:sz w:val="22"/>
        </w:rPr>
        <w:t>SP Seguridad Privada · Procesos y Mejora Continua · v0.1 borrador · 19/10/2026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Objetivo</w:t>
      </w:r>
    </w:p>
    <w:p>
      <w:r>
        <w:t>Resolver las fallas y los reclamos técnicos de los clientes activos dentro de un SLA y confirmar el cierre con el cliente.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Alcance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200"/>
        <w:gridCol w:w="7200"/>
      </w:tblGrid>
      <w:tr>
        <w:trPr>
          <w:tblHeader w:val="true"/>
        </w:trPr>
        <w:tc>
          <w:tcPr>
            <w:tcW w:type="dxa" w:w="4873"/>
            <w:tcW w:type="dxa" w:w="2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873"/>
            <w:tcW w:type="dxa" w:w="7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4873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Inicio</w:t>
            </w:r>
          </w:p>
        </w:tc>
        <w:tc>
          <w:tcPr>
            <w:tcW w:type="dxa" w:w="4873"/>
            <w:tcW w:type="dxa" w:w="7200"/>
          </w:tcPr>
          <w:p>
            <w:pPr>
              <w:spacing w:after="20"/>
            </w:pPr>
            <w:r>
              <w:rPr>
                <w:b w:val="0"/>
                <w:sz w:val="20"/>
              </w:rPr>
              <w:t>Caso técnico: derivado por Posventa (hito 11 de Nuevos clientes), derivado por Atención al cliente activo o tomado por la central de monitoreo.</w:t>
            </w:r>
          </w:p>
        </w:tc>
      </w:tr>
      <w:tr>
        <w:tc>
          <w:tcPr>
            <w:tcW w:type="dxa" w:w="4873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Fin</w:t>
            </w:r>
          </w:p>
        </w:tc>
        <w:tc>
          <w:tcPr>
            <w:tcW w:type="dxa" w:w="4873"/>
            <w:tcW w:type="dxa" w:w="7200"/>
          </w:tcPr>
          <w:p>
            <w:pPr>
              <w:spacing w:after="20"/>
            </w:pPr>
            <w:r>
              <w:rPr>
                <w:b w:val="0"/>
                <w:sz w:val="20"/>
              </w:rPr>
              <w:t>Falla resuelta y cierre confirmado con el cliente.</w:t>
            </w:r>
          </w:p>
        </w:tc>
      </w:tr>
      <w:tr>
        <w:tc>
          <w:tcPr>
            <w:tcW w:type="dxa" w:w="4873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Incluye</w:t>
            </w:r>
          </w:p>
        </w:tc>
        <w:tc>
          <w:tcPr>
            <w:tcW w:type="dxa" w:w="4873"/>
            <w:tcW w:type="dxa" w:w="7200"/>
          </w:tcPr>
          <w:p>
            <w:pPr>
              <w:spacing w:after="20"/>
            </w:pPr>
            <w:r>
              <w:rPr>
                <w:b w:val="0"/>
                <w:sz w:val="20"/>
              </w:rPr>
              <w:t>Recepción del caso, diagnóstico, visita técnica si corresponde, pedido de materiales a Depósito, resolución y cierre.</w:t>
            </w:r>
          </w:p>
        </w:tc>
      </w:tr>
      <w:tr>
        <w:tc>
          <w:tcPr>
            <w:tcW w:type="dxa" w:w="4873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No incluye</w:t>
            </w:r>
          </w:p>
        </w:tc>
        <w:tc>
          <w:tcPr>
            <w:tcW w:type="dxa" w:w="4873"/>
            <w:tcW w:type="dxa" w:w="7200"/>
          </w:tcPr>
          <w:p>
            <w:pPr>
              <w:spacing w:after="20"/>
            </w:pPr>
            <w:r>
              <w:rPr>
                <w:b w:val="0"/>
                <w:sz w:val="20"/>
              </w:rPr>
              <w:t>El mantenimiento preventivo, las ampliaciones y el funcionamiento interno de Depósito (proceso de apoyo Inventario y abastecimiento).</w:t>
            </w:r>
          </w:p>
        </w:tc>
      </w:tr>
      <w:tr>
        <w:tc>
          <w:tcPr>
            <w:tcW w:type="dxa" w:w="4873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Criterio de modelado</w:t>
            </w:r>
          </w:p>
        </w:tc>
        <w:tc>
          <w:tcPr>
            <w:tcW w:type="dxa" w:w="4873"/>
            <w:tcW w:type="dxa" w:w="7200"/>
          </w:tcPr>
          <w:p>
            <w:pPr>
              <w:spacing w:after="20"/>
            </w:pPr>
            <w:r>
              <w:rPr>
                <w:b w:val="0"/>
                <w:sz w:val="20"/>
              </w:rPr>
              <w:t>Se modela el circuito objetivo; los desvíos actuales van como anotaciones.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Áreas participantes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200"/>
        <w:gridCol w:w="3000"/>
        <w:gridCol w:w="4200"/>
      </w:tblGrid>
      <w:tr>
        <w:trPr>
          <w:tblHeader w:val="true"/>
        </w:trPr>
        <w:tc>
          <w:tcPr>
            <w:tcW w:type="dxa" w:w="3249"/>
            <w:tcW w:type="dxa" w:w="2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Área (lane)</w:t>
            </w:r>
          </w:p>
        </w:tc>
        <w:tc>
          <w:tcPr>
            <w:tcW w:type="dxa" w:w="3249"/>
            <w:tcW w:type="dxa" w:w="30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Depende de</w:t>
            </w:r>
          </w:p>
        </w:tc>
        <w:tc>
          <w:tcPr>
            <w:tcW w:type="dxa" w:w="3249"/>
            <w:tcW w:type="dxa" w:w="4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Rol en el proceso</w:t>
            </w:r>
          </w:p>
        </w:tc>
      </w:tr>
      <w:tr>
        <w:tc>
          <w:tcPr>
            <w:tcW w:type="dxa" w:w="3249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Servicio Técnico</w:t>
            </w:r>
          </w:p>
        </w:tc>
        <w:tc>
          <w:tcPr>
            <w:tcW w:type="dxa" w:w="3249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A confirmar</w:t>
            </w:r>
          </w:p>
        </w:tc>
        <w:tc>
          <w:tcPr>
            <w:tcW w:type="dxa" w:w="3249"/>
            <w:tcW w:type="dxa" w:w="4200"/>
          </w:tcPr>
          <w:p>
            <w:pPr>
              <w:spacing w:after="20"/>
            </w:pPr>
            <w:r>
              <w:rPr>
                <w:b w:val="0"/>
                <w:sz w:val="20"/>
              </w:rPr>
              <w:t>Dueña. Diagnostica, resuelve y cierra el caso.</w:t>
            </w:r>
          </w:p>
        </w:tc>
      </w:tr>
      <w:tr>
        <w:tc>
          <w:tcPr>
            <w:tcW w:type="dxa" w:w="3249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Depósito</w:t>
            </w:r>
          </w:p>
        </w:tc>
        <w:tc>
          <w:tcPr>
            <w:tcW w:type="dxa" w:w="3249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Gerencia de Operaciones Técnicas</w:t>
            </w:r>
          </w:p>
        </w:tc>
        <w:tc>
          <w:tcPr>
            <w:tcW w:type="dxa" w:w="3249"/>
            <w:tcW w:type="dxa" w:w="4200"/>
          </w:tcPr>
          <w:p>
            <w:pPr>
              <w:spacing w:after="20"/>
            </w:pPr>
            <w:r>
              <w:rPr>
                <w:b w:val="0"/>
                <w:sz w:val="20"/>
              </w:rPr>
              <w:t>Apoyo. Entrega y recibe materiales; se modela solo su participación.</w:t>
            </w:r>
          </w:p>
        </w:tc>
      </w:tr>
      <w:tr>
        <w:tc>
          <w:tcPr>
            <w:tcW w:type="dxa" w:w="3249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Atención al Cliente</w:t>
            </w:r>
          </w:p>
        </w:tc>
        <w:tc>
          <w:tcPr>
            <w:tcW w:type="dxa" w:w="3249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Gerencia de Administración y Finanzas</w:t>
            </w:r>
          </w:p>
        </w:tc>
        <w:tc>
          <w:tcPr>
            <w:tcW w:type="dxa" w:w="3249"/>
            <w:tcW w:type="dxa" w:w="4200"/>
          </w:tcPr>
          <w:p>
            <w:pPr>
              <w:spacing w:after="20"/>
            </w:pPr>
            <w:r>
              <w:rPr>
                <w:b w:val="0"/>
                <w:sz w:val="20"/>
              </w:rPr>
              <w:t>Deriva casos técnicos de clientes activos.</w:t>
            </w:r>
          </w:p>
        </w:tc>
      </w:tr>
      <w:tr>
        <w:tc>
          <w:tcPr>
            <w:tcW w:type="dxa" w:w="3249"/>
            <w:tcW w:type="dxa" w:w="2200"/>
          </w:tcPr>
          <w:p>
            <w:pPr>
              <w:spacing w:after="20"/>
            </w:pPr>
            <w:r>
              <w:rPr>
                <w:b w:val="0"/>
                <w:sz w:val="20"/>
              </w:rPr>
              <w:t>Posventa</w:t>
            </w:r>
          </w:p>
        </w:tc>
        <w:tc>
          <w:tcPr>
            <w:tcW w:type="dxa" w:w="3249"/>
            <w:tcW w:type="dxa" w:w="3000"/>
          </w:tcPr>
          <w:p>
            <w:pPr>
              <w:spacing w:after="20"/>
            </w:pPr>
            <w:r>
              <w:rPr>
                <w:b w:val="0"/>
                <w:sz w:val="20"/>
              </w:rPr>
              <w:t>A confirmar</w:t>
            </w:r>
          </w:p>
        </w:tc>
        <w:tc>
          <w:tcPr>
            <w:tcW w:type="dxa" w:w="3249"/>
            <w:tcW w:type="dxa" w:w="4200"/>
          </w:tcPr>
          <w:p>
            <w:pPr>
              <w:spacing w:after="20"/>
            </w:pPr>
            <w:r>
              <w:rPr>
                <w:b w:val="0"/>
                <w:sz w:val="20"/>
              </w:rPr>
              <w:t>Deriva casos técnicos durante el período de control (hito 11).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Entradas y salidas</w:t>
      </w:r>
    </w:p>
    <w:p>
      <w:pPr>
        <w:keepNext/>
        <w:spacing w:before="160" w:after="60"/>
      </w:pPr>
      <w:r>
        <w:rPr>
          <w:b/>
          <w:color w:val="3B5B8C"/>
          <w:sz w:val="22"/>
        </w:rPr>
        <w:t>Entradas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5400"/>
        <w:gridCol w:w="4000"/>
      </w:tblGrid>
      <w:tr>
        <w:trPr>
          <w:tblHeader w:val="true"/>
        </w:trPr>
        <w:tc>
          <w:tcPr>
            <w:tcW w:type="dxa" w:w="4873"/>
            <w:tcW w:type="dxa" w:w="54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4873"/>
            <w:tcW w:type="dxa" w:w="40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Origen</w:t>
            </w:r>
          </w:p>
        </w:tc>
      </w:tr>
      <w:tr>
        <w:tc>
          <w:tcPr>
            <w:tcW w:type="dxa" w:w="4873"/>
            <w:tcW w:type="dxa" w:w="5400"/>
          </w:tcPr>
          <w:p>
            <w:pPr>
              <w:spacing w:after="20"/>
            </w:pPr>
            <w:r>
              <w:rPr>
                <w:b w:val="0"/>
                <w:sz w:val="20"/>
              </w:rPr>
              <w:t>Caso técnico derivado (hito 11)</w:t>
            </w:r>
          </w:p>
        </w:tc>
        <w:tc>
          <w:tcPr>
            <w:tcW w:type="dxa" w:w="4873"/>
            <w:tcW w:type="dxa" w:w="4000"/>
          </w:tcPr>
          <w:p>
            <w:pPr>
              <w:spacing w:after="20"/>
            </w:pPr>
            <w:r>
              <w:rPr>
                <w:b w:val="0"/>
                <w:sz w:val="20"/>
              </w:rPr>
              <w:t>Nuevos clientes (Posventa)</w:t>
            </w:r>
          </w:p>
        </w:tc>
      </w:tr>
      <w:tr>
        <w:tc>
          <w:tcPr>
            <w:tcW w:type="dxa" w:w="4873"/>
            <w:tcW w:type="dxa" w:w="5400"/>
          </w:tcPr>
          <w:p>
            <w:pPr>
              <w:spacing w:after="20"/>
            </w:pPr>
            <w:r>
              <w:rPr>
                <w:b w:val="0"/>
                <w:sz w:val="20"/>
              </w:rPr>
              <w:t>Caso técnico derivado</w:t>
            </w:r>
          </w:p>
        </w:tc>
        <w:tc>
          <w:tcPr>
            <w:tcW w:type="dxa" w:w="4873"/>
            <w:tcW w:type="dxa" w:w="4000"/>
          </w:tcPr>
          <w:p>
            <w:pPr>
              <w:spacing w:after="20"/>
            </w:pPr>
            <w:r>
              <w:rPr>
                <w:b w:val="0"/>
                <w:sz w:val="20"/>
              </w:rPr>
              <w:t>Atención al cliente activo</w:t>
            </w:r>
          </w:p>
        </w:tc>
      </w:tr>
      <w:tr>
        <w:tc>
          <w:tcPr>
            <w:tcW w:type="dxa" w:w="4873"/>
            <w:tcW w:type="dxa" w:w="5400"/>
          </w:tcPr>
          <w:p>
            <w:pPr>
              <w:spacing w:after="20"/>
            </w:pPr>
            <w:r>
              <w:rPr>
                <w:b w:val="0"/>
                <w:sz w:val="20"/>
              </w:rPr>
              <w:t>Caso tomado fuera de horario o en casos puntuales</w:t>
            </w:r>
          </w:p>
        </w:tc>
        <w:tc>
          <w:tcPr>
            <w:tcW w:type="dxa" w:w="4873"/>
            <w:tcW w:type="dxa" w:w="4000"/>
          </w:tcPr>
          <w:p>
            <w:pPr>
              <w:spacing w:after="20"/>
            </w:pPr>
            <w:r>
              <w:rPr>
                <w:b w:val="0"/>
                <w:sz w:val="20"/>
              </w:rPr>
              <w:t>Central de monitoreo (Monitoreo de alarmas)</w:t>
            </w:r>
          </w:p>
        </w:tc>
      </w:tr>
      <w:tr>
        <w:tc>
          <w:tcPr>
            <w:tcW w:type="dxa" w:w="4873"/>
            <w:tcW w:type="dxa" w:w="5400"/>
          </w:tcPr>
          <w:p>
            <w:pPr>
              <w:spacing w:after="20"/>
            </w:pPr>
            <w:r>
              <w:rPr>
                <w:b w:val="0"/>
                <w:sz w:val="20"/>
              </w:rPr>
              <w:t>Falla detectada en una revisión</w:t>
            </w:r>
          </w:p>
        </w:tc>
        <w:tc>
          <w:tcPr>
            <w:tcW w:type="dxa" w:w="4873"/>
            <w:tcW w:type="dxa" w:w="4000"/>
          </w:tcPr>
          <w:p>
            <w:pPr>
              <w:spacing w:after="20"/>
            </w:pPr>
            <w:r>
              <w:rPr>
                <w:b w:val="0"/>
                <w:sz w:val="20"/>
              </w:rPr>
              <w:t>Mantenimiento preventivo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b/>
          <w:color w:val="3B5B8C"/>
          <w:sz w:val="22"/>
        </w:rPr>
        <w:t>Salidas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5400"/>
        <w:gridCol w:w="4000"/>
      </w:tblGrid>
      <w:tr>
        <w:trPr>
          <w:tblHeader w:val="true"/>
        </w:trPr>
        <w:tc>
          <w:tcPr>
            <w:tcW w:type="dxa" w:w="4873"/>
            <w:tcW w:type="dxa" w:w="54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Salida</w:t>
            </w:r>
          </w:p>
        </w:tc>
        <w:tc>
          <w:tcPr>
            <w:tcW w:type="dxa" w:w="4873"/>
            <w:tcW w:type="dxa" w:w="40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Destino</w:t>
            </w:r>
          </w:p>
        </w:tc>
      </w:tr>
      <w:tr>
        <w:tc>
          <w:tcPr>
            <w:tcW w:type="dxa" w:w="4873"/>
            <w:tcW w:type="dxa" w:w="5400"/>
          </w:tcPr>
          <w:p>
            <w:pPr>
              <w:spacing w:after="20"/>
            </w:pPr>
            <w:r>
              <w:rPr>
                <w:b w:val="0"/>
                <w:sz w:val="20"/>
              </w:rPr>
              <w:t>Falla resuelta y cierre confirmado con el cliente</w:t>
            </w:r>
          </w:p>
        </w:tc>
        <w:tc>
          <w:tcPr>
            <w:tcW w:type="dxa" w:w="4873"/>
            <w:tcW w:type="dxa" w:w="4000"/>
          </w:tcPr>
          <w:p>
            <w:pPr>
              <w:spacing w:after="20"/>
            </w:pPr>
            <w:r>
              <w:rPr>
                <w:b w:val="0"/>
                <w:sz w:val="20"/>
              </w:rPr>
              <w:t>Fin del proceso</w:t>
            </w:r>
          </w:p>
        </w:tc>
      </w:tr>
      <w:tr>
        <w:tc>
          <w:tcPr>
            <w:tcW w:type="dxa" w:w="4873"/>
            <w:tcW w:type="dxa" w:w="5400"/>
          </w:tcPr>
          <w:p>
            <w:pPr>
              <w:spacing w:after="20"/>
            </w:pPr>
            <w:r>
              <w:rPr>
                <w:b w:val="0"/>
                <w:sz w:val="20"/>
              </w:rPr>
              <w:t>Pedido y devolución de materiales</w:t>
            </w:r>
          </w:p>
        </w:tc>
        <w:tc>
          <w:tcPr>
            <w:tcW w:type="dxa" w:w="4873"/>
            <w:tcW w:type="dxa" w:w="4000"/>
          </w:tcPr>
          <w:p>
            <w:pPr>
              <w:spacing w:after="20"/>
            </w:pPr>
            <w:r>
              <w:rPr>
                <w:b w:val="0"/>
                <w:sz w:val="20"/>
              </w:rPr>
              <w:t>Inventario y abastecimiento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Definiciones tomadas</w:t>
      </w:r>
    </w:p>
    <w:p>
      <w:pPr>
        <w:pStyle w:val="ListBullet"/>
        <w:spacing w:after="40"/>
      </w:pPr>
      <w:r>
        <w:rPr>
          <w:b/>
        </w:rPr>
        <w:t>SLA:</w:t>
      </w:r>
      <w:r>
        <w:rPr>
          <w:b w:val="0"/>
        </w:rPr>
        <w:t xml:space="preserve"> se fija por categoría en Atención al cliente activo y se cumple y mide en este proceso (hito 11).</w:t>
      </w:r>
    </w:p>
    <w:p>
      <w:pPr>
        <w:pStyle w:val="ListBullet"/>
        <w:spacing w:after="40"/>
      </w:pPr>
      <w:r>
        <w:rPr>
          <w:b/>
        </w:rPr>
        <w:t>Central de monitoreo:</w:t>
      </w:r>
      <w:r>
        <w:rPr>
          <w:b w:val="0"/>
        </w:rPr>
        <w:t xml:space="preserve"> es entrada a este proceso solo fuera del horario de atención o en casos puntuales.</w:t>
      </w: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A definir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4700"/>
        <w:gridCol w:w="4700"/>
      </w:tblGrid>
      <w:tr>
        <w:trPr>
          <w:tblHeader w:val="true"/>
        </w:trPr>
        <w:tc>
          <w:tcPr>
            <w:tcW w:type="dxa" w:w="4873"/>
            <w:tcW w:type="dxa" w:w="47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4873"/>
            <w:tcW w:type="dxa" w:w="47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SLA por categoría o urgencia</w:t>
            </w:r>
          </w:p>
        </w:tc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Plazos de respuesta y de resolución; regla de escalamiento.</w:t>
            </w:r>
          </w:p>
        </w:tc>
      </w:tr>
      <w:tr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Casos que toma la central de monitoreo</w:t>
            </w:r>
          </w:p>
        </w:tc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Cuáles y fuera de qué horario.</w:t>
            </w:r>
          </w:p>
        </w:tc>
      </w:tr>
      <w:tr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Cierre con el cliente</w:t>
            </w:r>
          </w:p>
        </w:tc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Quién confirma que la falla quedó resuelta.</w:t>
            </w:r>
          </w:p>
        </w:tc>
      </w:tr>
      <w:tr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Período de garantía</w:t>
            </w:r>
          </w:p>
        </w:tc>
        <w:tc>
          <w:tcPr>
            <w:tcW w:type="dxa" w:w="4873"/>
            <w:tcW w:type="dxa" w:w="4700"/>
          </w:tcPr>
          <w:p>
            <w:pPr>
              <w:spacing w:after="20"/>
            </w:pPr>
            <w:r>
              <w:rPr>
                <w:b w:val="0"/>
                <w:sz w:val="20"/>
              </w:rPr>
              <w:t>Qué casos se atienden sin cargo.</w:t>
            </w:r>
          </w:p>
        </w:tc>
      </w:tr>
    </w:tbl>
    <w:p>
      <w:pPr>
        <w:spacing w:after="40"/>
      </w:pPr>
    </w:p>
    <w:p>
      <w:pPr>
        <w:keepNext/>
        <w:spacing w:before="240" w:after="80"/>
        <w:pBdr>
          <w:left w:val="single" w:sz="18" w:space="8" w:color="3B5B8C"/>
        </w:pBdr>
      </w:pPr>
      <w:r>
        <w:rPr>
          <w:b/>
          <w:color w:val="1F2A44"/>
          <w:sz w:val="26"/>
        </w:rPr>
        <w:t>Registro de cambios</w:t>
      </w:r>
    </w:p>
    <w:tbl>
      <w:tblPr>
        <w:tblW w:type="auto" w:w="0"/>
        <w:tblLook w:firstColumn="1" w:firstRow="1" w:lastColumn="0" w:lastRow="0" w:noHBand="0" w:noVBand="1" w:val="04A0"/>
        <w:jc w:val="center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00"/>
        <w:gridCol w:w="1500"/>
        <w:gridCol w:w="6700"/>
      </w:tblGrid>
      <w:tr>
        <w:trPr>
          <w:tblHeader w:val="true"/>
        </w:trPr>
        <w:tc>
          <w:tcPr>
            <w:tcW w:type="dxa" w:w="3249"/>
            <w:tcW w:type="dxa" w:w="12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249"/>
            <w:tcW w:type="dxa" w:w="15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3249"/>
            <w:tcW w:type="dxa" w:w="6700"/>
            <w:shd w:val="clear" w:color="auto" w:fill="1F2A44"/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Cambio</w:t>
            </w:r>
          </w:p>
        </w:tc>
      </w:tr>
      <w:tr>
        <w:tc>
          <w:tcPr>
            <w:tcW w:type="dxa" w:w="3249"/>
            <w:tcW w:type="dxa" w:w="1200"/>
          </w:tcPr>
          <w:p>
            <w:pPr>
              <w:spacing w:after="20"/>
            </w:pPr>
            <w:r>
              <w:rPr>
                <w:b w:val="0"/>
                <w:sz w:val="20"/>
              </w:rPr>
              <w:t>v0.1</w:t>
            </w:r>
          </w:p>
        </w:tc>
        <w:tc>
          <w:tcPr>
            <w:tcW w:type="dxa" w:w="3249"/>
            <w:tcW w:type="dxa" w:w="1500"/>
          </w:tcPr>
          <w:p>
            <w:pPr>
              <w:spacing w:after="20"/>
            </w:pPr>
            <w:r>
              <w:rPr>
                <w:b w:val="0"/>
                <w:sz w:val="20"/>
              </w:rPr>
              <w:t>19/10/2026</w:t>
            </w:r>
          </w:p>
        </w:tc>
        <w:tc>
          <w:tcPr>
            <w:tcW w:type="dxa" w:w="3249"/>
            <w:tcW w:type="dxa" w:w="6700"/>
          </w:tcPr>
          <w:p>
            <w:pPr>
              <w:spacing w:after="20"/>
            </w:pPr>
            <w:r>
              <w:rPr>
                <w:b w:val="0"/>
                <w:sz w:val="20"/>
              </w:rPr>
              <w:t>Primera versión: alcance según el mapa de procesos acordado el 17/10.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SP Seguridad Privada · Ficha del proceso Mantenimiento correctivo y reclamos técnicos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