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C0392B"/>
          <w:sz w:val="20"/>
          <w:szCs w:val="20"/>
        </w:rPr>
        <w:t xml:space="preserve">DOCUMENTO DE PROYECTO</w:t>
      </w:r>
    </w:p>
    <w:p>
      <w:pPr>
        <w:spacing w:after="40"/>
      </w:pPr>
      <w:r>
        <w:rPr>
          <w:b/>
          <w:bCs/>
          <w:color w:val="1B2A4A"/>
          <w:sz w:val="32"/>
          <w:szCs w:val="32"/>
        </w:rPr>
        <w:t xml:space="preserve">Hoja de ruta — Preparación previa a la solicitud a Redes</w:t>
      </w:r>
    </w:p>
    <w:p>
      <w:pPr>
        <w:spacing w:after="300"/>
      </w:pPr>
      <w:r>
        <w:rPr>
          <w:color w:val="6B7280"/>
          <w:sz w:val="22"/>
          <w:szCs w:val="22"/>
        </w:rPr>
        <w:t xml:space="preserve">Web Interna SP — Pasos a resolver por cuenta propia antes de enviar el pedido</w:t>
      </w:r>
    </w:p>
    <w:p>
      <w:pPr>
        <w:pBdr>
          <w:bottom w:val="single" w:color="D0D5DD" w:sz="4" w:space="4"/>
        </w:pBdr>
        <w:spacing w:after="300"/>
      </w:pPr>
      <w:r>
        <w:rPr>
          <w:i/>
          <w:iCs/>
          <w:color w:val="6B7280"/>
          <w:sz w:val="18"/>
          <w:szCs w:val="18"/>
        </w:rPr>
        <w:t xml:space="preserve">Preparado por: Martin Wolcan  ·  Última actualización: 7 de agosto de 2026</w:t>
      </w:r>
    </w:p>
    <w:p>
      <w:pPr>
        <w:spacing w:after="140" w:line="300"/>
      </w:pPr>
      <w:r>
        <w:rPr>
          <w:sz w:val="21"/>
          <w:szCs w:val="21"/>
        </w:rPr>
        <w:t xml:space="preserve">Antes de enviarle la nota técnica al Área de Redes, hay una serie de puntos que se pueden (y conviene) resolver por cuenta propia. Completarlos primero permite mandar el pedido con toda la información ya cargada, sin idas y vueltas, y deja el proyecto listo para avanzar apenas Redes habilite el acceso externo. Este documento funciona como hoja de ruta: cada punto se actualiza con lo realmente hecho a medida que se va resolviendo.</w:t>
      </w:r>
    </w:p>
    <w:p>
      <w:pPr>
        <w:pStyle w:val="Heading1"/>
        <w:pBdr>
          <w:bottom w:val="single" w:color="C0392B" w:sz="6" w:space="4"/>
        </w:pBdr>
        <w:spacing w:after="160" w:before="400"/>
      </w:pPr>
      <w:r>
        <w:rPr>
          <w:b/>
          <w:bCs/>
          <w:color w:val="1B2A4A"/>
          <w:sz w:val="26"/>
          <w:szCs w:val="26"/>
        </w:rPr>
        <w:t xml:space="preserve">1. Endurecer el servidor antes de exponerlo</w:t>
      </w:r>
      <w:r>
        <w:rPr>
          <w:b/>
          <w:bCs/>
          <w:color w:val="1E8E5A"/>
          <w:sz w:val="18"/>
          <w:szCs w:val="18"/>
        </w:rPr>
        <w:t xml:space="preserve">   ✔ COMPLETADO</w:t>
      </w:r>
    </w:p>
    <w:p>
      <w:pPr>
        <w:spacing w:after="100" w:line="280"/>
      </w:pPr>
      <w:r>
        <w:rPr>
          <w:b/>
          <w:bCs/>
          <w:color w:val="1B2A4A"/>
          <w:sz w:val="21"/>
          <w:szCs w:val="21"/>
        </w:rPr>
        <w:t xml:space="preserve">Motivo: </w:t>
      </w:r>
      <w:r>
        <w:rPr>
          <w:sz w:val="21"/>
          <w:szCs w:val="21"/>
        </w:rPr>
        <w:t xml:space="preserve">una vez que el servidor sea alcanzable desde internet, cualquier debilidad de acceso queda expuesta a todo el mundo, no solo a la red interna. Durante las pruebas se detectó que el usuario root admitía login por contraseña — había que cerrarlo antes de abrir el servidor hacia afuera, dejando solo autenticación por clave (igual al método que ya usa Coolify para conectarse).</w:t>
      </w:r>
    </w:p>
    <w:p>
      <w:pPr>
        <w:spacing w:after="80" w:before="220"/>
      </w:pPr>
      <w:r>
        <w:rPr>
          <w:b/>
          <w:bCs/>
          <w:color w:val="C0392B"/>
          <w:sz w:val="20"/>
          <w:szCs w:val="20"/>
        </w:rPr>
        <w:t xml:space="preserve">SSH: login por contraseña deshabilitado</w:t>
      </w:r>
      <w:r>
        <w:rPr>
          <w:b/>
          <w:bCs/>
          <w:color w:val="1E8E5A"/>
          <w:sz w:val="16"/>
          <w:szCs w:val="16"/>
        </w:rPr>
        <w:t xml:space="preserve">   ✔ COMPLETADO</w:t>
      </w:r>
    </w:p>
    <w:p>
      <w:pPr>
        <w:spacing w:after="140" w:line="300"/>
      </w:pPr>
      <w:r>
        <w:rPr>
          <w:sz w:val="21"/>
          <w:szCs w:val="21"/>
        </w:rPr>
        <w:t xml:space="preserve">Bitácora de lo realizado (7 de agosto de 2026):</w:t>
      </w:r>
    </w:p>
    <w:p>
      <w:pPr>
        <w:pStyle w:val="ListParagraph"/>
        <w:numPr>
          <w:ilvl w:val="0"/>
          <w:numId w:val="2"/>
        </w:numPr>
        <w:spacing w:after="90" w:line="280"/>
      </w:pPr>
      <w:r>
        <w:rPr>
          <w:sz w:val="21"/>
          <w:szCs w:val="21"/>
        </w:rPr>
        <w:t xml:space="preserve">Se editó /etc/ssh/sshd_config, cambiando PasswordAuthentication de "yes" a "no", y se reinició el servicio SSH.</w:t>
      </w:r>
    </w:p>
    <w:p>
      <w:pPr>
        <w:pStyle w:val="ListParagraph"/>
        <w:numPr>
          <w:ilvl w:val="0"/>
          <w:numId w:val="2"/>
        </w:numPr>
        <w:spacing w:after="90" w:line="280"/>
      </w:pPr>
      <w:r>
        <w:rPr>
          <w:sz w:val="21"/>
          <w:szCs w:val="21"/>
        </w:rPr>
        <w:t xml:space="preserve">Al cerrar la sesión activa sin haber verificado antes un método de acceso alternativo, se perdió el acceso por SSH: en ese momento no había ninguna clave personal cargada, solo se entraba por contraseña.</w:t>
      </w:r>
    </w:p>
    <w:p>
      <w:pPr>
        <w:pStyle w:val="ListParagraph"/>
        <w:numPr>
          <w:ilvl w:val="0"/>
          <w:numId w:val="2"/>
        </w:numPr>
        <w:spacing w:after="90" w:line="280"/>
      </w:pPr>
      <w:r>
        <w:rPr>
          <w:sz w:val="21"/>
          <w:szCs w:val="21"/>
        </w:rPr>
        <w:t xml:space="preserve">Recuperación: se generó un par de claves SSH nuevo en la PC de Martin (ssh-keygen, desde PowerShell) y, aprovechando una sesión root que seguía abierta en el servidor, se agregó la clave pública a /root/.ssh/authorized_keys.</w:t>
      </w:r>
    </w:p>
    <w:p>
      <w:pPr>
        <w:pStyle w:val="ListParagraph"/>
        <w:numPr>
          <w:ilvl w:val="0"/>
          <w:numId w:val="2"/>
        </w:numPr>
        <w:spacing w:after="90" w:line="280"/>
      </w:pPr>
      <w:r>
        <w:rPr>
          <w:sz w:val="21"/>
          <w:szCs w:val="21"/>
        </w:rPr>
        <w:t xml:space="preserve">Se verificó el acceso por clave desde una terminal nueva antes de continuar.</w:t>
      </w:r>
    </w:p>
    <w:p>
      <w:pPr>
        <w:pStyle w:val="ListParagraph"/>
        <w:numPr>
          <w:ilvl w:val="0"/>
          <w:numId w:val="2"/>
        </w:numPr>
        <w:spacing w:after="90" w:line="280"/>
      </w:pPr>
      <w:r>
        <w:rPr>
          <w:sz w:val="21"/>
          <w:szCs w:val="21"/>
        </w:rPr>
        <w:t xml:space="preserve">Con el acceso por clave ya confirmado, se volvió a desactivar PasswordAuthentication y se reinició SSH, verificando de nuevo en una terminal nueva antes de cerrar la sesión anterior.</w:t>
      </w:r>
    </w:p>
    <w:p>
      <w:pPr>
        <w:pBdr>
          <w:left w:val="single" w:color="C0392B" w:sz="12" w:space="6"/>
        </w:pBdr>
        <w:shd w:fill="F2F4F7" w:color="auto" w:val="clear"/>
        <w:spacing w:after="160" w:line="280"/>
        <w:ind w:left="200" w:right="200"/>
      </w:pPr>
      <w:r>
        <w:rPr>
          <w:i/>
          <w:iCs/>
          <w:color w:val="374151"/>
          <w:sz w:val="19"/>
          <w:szCs w:val="19"/>
        </w:rPr>
        <w:t xml:space="preserve">Aprendizaje para los próximos pasos de esta hoja de ruta: verificar siempre que el método de acceso alternativo funciona ANTES de cerrar la sesión activa al aplicar un cambio de este tipo — evita quedar bloqueado fuera del servidor.</w:t>
      </w:r>
    </w:p>
    <w:p>
      <w:pPr>
        <w:spacing w:after="100" w:line="280"/>
      </w:pPr>
      <w:r>
        <w:rPr>
          <w:b/>
          <w:bCs/>
          <w:color w:val="1B2A4A"/>
          <w:sz w:val="21"/>
          <w:szCs w:val="21"/>
        </w:rPr>
        <w:t xml:space="preserve">Resultado: </w:t>
      </w:r>
      <w:r>
        <w:rPr>
          <w:sz w:val="21"/>
          <w:szCs w:val="21"/>
        </w:rPr>
        <w:t xml:space="preserve">el servidor ya no acepta login por contraseña. El acceso queda restringido a autenticación por clave: la de Coolify (uso automatizado) y la personal de Martin (clave ed25519 sin passphrase, guardada en su PC).</w:t>
      </w:r>
    </w:p>
    <w:p>
      <w:pPr>
        <w:spacing w:after="80" w:before="220"/>
      </w:pPr>
      <w:r>
        <w:rPr>
          <w:b/>
          <w:bCs/>
          <w:color w:val="C0392B"/>
          <w:sz w:val="20"/>
          <w:szCs w:val="20"/>
        </w:rPr>
        <w:t xml:space="preserve">Instalar fail2ban</w:t>
      </w:r>
      <w:r>
        <w:rPr>
          <w:b/>
          <w:bCs/>
          <w:color w:val="1E8E5A"/>
          <w:sz w:val="16"/>
          <w:szCs w:val="16"/>
        </w:rPr>
        <w:t xml:space="preserve">   ✔ COMPLETADO</w:t>
      </w:r>
    </w:p>
    <w:p>
      <w:pPr>
        <w:spacing w:after="100" w:line="280"/>
      </w:pPr>
      <w:r>
        <w:rPr>
          <w:b/>
          <w:bCs/>
          <w:color w:val="1B2A4A"/>
          <w:sz w:val="21"/>
          <w:szCs w:val="21"/>
        </w:rPr>
        <w:t xml:space="preserve">Propósito: </w:t>
      </w:r>
      <w:r>
        <w:rPr>
          <w:sz w:val="21"/>
          <w:szCs w:val="21"/>
        </w:rPr>
        <w:t xml:space="preserve">proteger el servidor contra intentos de fuerza bruta sobre los servicios expuestos. Cobra más importancia todavía ahora que SSH quedó restringido solo a autenticación por clave, y a futuro cuando los endpoints web queden accesibles desde internet — fail2ban detecta intentos fallidos repetidos desde una misma IP y la bloquea automáticamente por un tiempo.</w:t>
      </w:r>
    </w:p>
    <w:p>
      <w:pPr>
        <w:spacing w:after="140" w:line="300"/>
      </w:pPr>
      <w:r>
        <w:rPr>
          <w:sz w:val="21"/>
          <w:szCs w:val="21"/>
        </w:rPr>
        <w:t xml:space="preserve">Bitácora de lo realizado (7 de agosto de 2026):</w:t>
      </w:r>
    </w:p>
    <w:p>
      <w:pPr>
        <w:pStyle w:val="ListParagraph"/>
        <w:numPr>
          <w:ilvl w:val="0"/>
          <w:numId w:val="3"/>
        </w:numPr>
        <w:spacing w:after="90" w:line="280"/>
      </w:pPr>
      <w:r>
        <w:rPr>
          <w:sz w:val="21"/>
          <w:szCs w:val="21"/>
        </w:rPr>
        <w:t xml:space="preserve">Se instaló con: sudo apt update &amp;&amp; sudo apt install fail2ban -y</w:t>
      </w:r>
    </w:p>
    <w:p>
      <w:pPr>
        <w:pStyle w:val="ListParagraph"/>
        <w:numPr>
          <w:ilvl w:val="0"/>
          <w:numId w:val="3"/>
        </w:numPr>
        <w:spacing w:after="90" w:line="280"/>
      </w:pPr>
      <w:r>
        <w:rPr>
          <w:sz w:val="21"/>
          <w:szCs w:val="21"/>
        </w:rPr>
        <w:t xml:space="preserve">Se verificó el estado del servicio con sudo systemctl status fail2ban: quedó "Active: active (running)" y habilitado para arrancar junto con el sistema (enabled), con la protección de SSH activa por la configuración por defecto.</w:t>
      </w:r>
    </w:p>
    <w:p>
      <w:pPr>
        <w:spacing w:after="100" w:line="280"/>
      </w:pPr>
      <w:r>
        <w:rPr>
          <w:b/>
          <w:bCs/>
          <w:color w:val="1B2A4A"/>
          <w:sz w:val="21"/>
          <w:szCs w:val="21"/>
        </w:rPr>
        <w:t xml:space="preserve">Resultado: </w:t>
      </w:r>
      <w:r>
        <w:rPr>
          <w:sz w:val="21"/>
          <w:szCs w:val="21"/>
        </w:rPr>
        <w:t xml:space="preserve">fail2ban está instalado y corriendo. Con esto, el punto 1 de esta hoja de ruta queda completo.</w:t>
      </w:r>
    </w:p>
    <w:p>
      <w:pPr>
        <w:pStyle w:val="Heading1"/>
        <w:pBdr>
          <w:bottom w:val="single" w:color="C0392B" w:sz="6" w:space="4"/>
        </w:pBdr>
        <w:spacing w:after="160" w:before="400"/>
      </w:pPr>
      <w:r>
        <w:rPr>
          <w:b/>
          <w:bCs/>
          <w:color w:val="1B2A4A"/>
          <w:sz w:val="26"/>
          <w:szCs w:val="26"/>
        </w:rPr>
        <w:t xml:space="preserve">2. Conseguir la IP pública actual</w:t>
      </w:r>
      <w:r>
        <w:rPr>
          <w:b/>
          <w:bCs/>
          <w:color w:val="B45309"/>
          <w:sz w:val="18"/>
          <w:szCs w:val="18"/>
        </w:rPr>
        <w:t xml:space="preserve">   ◻ PENDIENTE</w:t>
      </w:r>
    </w:p>
    <w:p>
      <w:pPr>
        <w:spacing w:after="100" w:line="280"/>
      </w:pPr>
      <w:r>
        <w:rPr>
          <w:b/>
          <w:bCs/>
          <w:color w:val="1B2A4A"/>
          <w:sz w:val="21"/>
          <w:szCs w:val="21"/>
        </w:rPr>
        <w:t xml:space="preserve">Por qué: </w:t>
      </w:r>
      <w:r>
        <w:rPr>
          <w:sz w:val="21"/>
          <w:szCs w:val="21"/>
        </w:rPr>
        <w:t xml:space="preserve">es el dato que Redes necesita para crear los registros DNS — conseguirlo de antemano evita una ida y vuelta con ese equipo.</w:t>
      </w:r>
    </w:p>
    <w:p>
      <w:pPr>
        <w:pStyle w:val="ListParagraph"/>
        <w:numPr>
          <w:ilvl w:val="0"/>
          <w:numId w:val="4"/>
        </w:numPr>
        <w:spacing w:after="90" w:line="280"/>
      </w:pPr>
      <w:r>
        <w:rPr>
          <w:sz w:val="21"/>
          <w:szCs w:val="21"/>
        </w:rPr>
        <w:t xml:space="preserve">Desde un dispositivo conectado a la red de la oficina (no por VPN), entrar a un sitio como whatismyip.com o ifconfig.me.</w:t>
      </w:r>
    </w:p>
    <w:p>
      <w:pPr>
        <w:pStyle w:val="ListParagraph"/>
        <w:numPr>
          <w:ilvl w:val="0"/>
          <w:numId w:val="4"/>
        </w:numPr>
        <w:spacing w:after="90" w:line="280"/>
      </w:pPr>
      <w:r>
        <w:rPr>
          <w:sz w:val="21"/>
          <w:szCs w:val="21"/>
        </w:rPr>
        <w:t xml:space="preserve">Anotar la IP que muestra — esa es la que va en los registros DNS tipo A.</w:t>
      </w:r>
    </w:p>
    <w:p>
      <w:pPr>
        <w:pBdr>
          <w:left w:val="single" w:color="C0392B" w:sz="12" w:space="6"/>
        </w:pBdr>
        <w:shd w:fill="F2F4F7" w:color="auto" w:val="clear"/>
        <w:spacing w:after="160" w:line="280"/>
        <w:ind w:left="200" w:right="200"/>
      </w:pPr>
      <w:r>
        <w:rPr>
          <w:i/>
          <w:iCs/>
          <w:color w:val="374151"/>
          <w:sz w:val="19"/>
          <w:szCs w:val="19"/>
        </w:rPr>
        <w:t xml:space="preserve">Si la conexión a internet de la oficina no tiene IP fija contratada con el proveedor, esa IP puede cambiar con el tiempo y rompería el acceso externo más adelante. Vale la pena preguntarle a Redes si la conexión tiene IP fija o si conviene contratarla / usar un servicio de DNS dinámico.</w:t>
      </w:r>
    </w:p>
    <w:p>
      <w:pPr>
        <w:pStyle w:val="Heading1"/>
        <w:pBdr>
          <w:bottom w:val="single" w:color="C0392B" w:sz="6" w:space="4"/>
        </w:pBdr>
        <w:spacing w:after="160" w:before="400"/>
      </w:pPr>
      <w:r>
        <w:rPr>
          <w:b/>
          <w:bCs/>
          <w:color w:val="1B2A4A"/>
          <w:sz w:val="26"/>
          <w:szCs w:val="26"/>
        </w:rPr>
        <w:t xml:space="preserve">3. Confirmar los nombres de subdominio definitivos</w:t>
      </w:r>
      <w:r>
        <w:rPr>
          <w:b/>
          <w:bCs/>
          <w:color w:val="B45309"/>
          <w:sz w:val="18"/>
          <w:szCs w:val="18"/>
        </w:rPr>
        <w:t xml:space="preserve">   ◻ PENDIENTE</w:t>
      </w:r>
    </w:p>
    <w:p>
      <w:pPr>
        <w:spacing w:after="100" w:line="280"/>
      </w:pPr>
      <w:r>
        <w:rPr>
          <w:b/>
          <w:bCs/>
          <w:color w:val="1B2A4A"/>
          <w:sz w:val="21"/>
          <w:szCs w:val="21"/>
        </w:rPr>
        <w:t xml:space="preserve">Por qué: </w:t>
      </w:r>
      <w:r>
        <w:rPr>
          <w:sz w:val="21"/>
          <w:szCs w:val="21"/>
        </w:rPr>
        <w:t xml:space="preserve">para que Redes cargue el DNS correcto a la primera, sin tener que volver a pedir el cambio.</w:t>
      </w:r>
    </w:p>
    <w:p>
      <w:pPr>
        <w:pStyle w:val="ListParagraph"/>
        <w:numPr>
          <w:ilvl w:val="0"/>
          <w:numId w:val="5"/>
        </w:numPr>
        <w:spacing w:after="80" w:line="280"/>
      </w:pPr>
      <w:r>
        <w:rPr>
          <w:sz w:val="21"/>
          <w:szCs w:val="21"/>
        </w:rPr>
        <w:t xml:space="preserve">Proyecto Web Interna SP: intranet.spseguridad.com.ar (o el nombre que se prefiera).</w:t>
      </w:r>
    </w:p>
    <w:p>
      <w:pPr>
        <w:pStyle w:val="ListParagraph"/>
        <w:numPr>
          <w:ilvl w:val="0"/>
          <w:numId w:val="5"/>
        </w:numPr>
        <w:spacing w:after="80" w:line="280"/>
      </w:pPr>
      <w:r>
        <w:rPr>
          <w:sz w:val="21"/>
          <w:szCs w:val="21"/>
        </w:rPr>
        <w:t xml:space="preserve">Servicio de integración de datos: datos.spseguridad.com.ar (o el nombre que se prefiera).</w:t>
      </w:r>
    </w:p>
    <w:p>
      <w:pPr>
        <w:pStyle w:val="ListParagraph"/>
        <w:numPr>
          <w:ilvl w:val="0"/>
          <w:numId w:val="5"/>
        </w:numPr>
        <w:spacing w:after="80" w:line="280"/>
      </w:pPr>
      <w:r>
        <w:rPr>
          <w:sz w:val="21"/>
          <w:szCs w:val="21"/>
        </w:rPr>
        <w:t xml:space="preserve">Confirmar con quien administra el dominio spseguridad.com.ar que esos subdominios están libres y que se puede cargar el registro DNS sin conflicto con otro servicio existente.</w:t>
      </w:r>
    </w:p>
    <w:p>
      <w:pPr>
        <w:pStyle w:val="Heading1"/>
        <w:pBdr>
          <w:bottom w:val="single" w:color="C0392B" w:sz="6" w:space="4"/>
        </w:pBdr>
        <w:spacing w:after="160" w:before="400"/>
      </w:pPr>
      <w:r>
        <w:rPr>
          <w:b/>
          <w:bCs/>
          <w:color w:val="1B2A4A"/>
          <w:sz w:val="26"/>
          <w:szCs w:val="26"/>
        </w:rPr>
        <w:t xml:space="preserve">4. Clasificar el contenido: público vs. por rol</w:t>
      </w:r>
      <w:r>
        <w:rPr>
          <w:b/>
          <w:bCs/>
          <w:color w:val="B45309"/>
          <w:sz w:val="18"/>
          <w:szCs w:val="18"/>
        </w:rPr>
        <w:t xml:space="preserve">   ◻ PENDIENTE</w:t>
      </w:r>
    </w:p>
    <w:p>
      <w:pPr>
        <w:spacing w:after="100" w:line="280"/>
      </w:pPr>
      <w:r>
        <w:rPr>
          <w:b/>
          <w:bCs/>
          <w:color w:val="1B2A4A"/>
          <w:sz w:val="21"/>
          <w:szCs w:val="21"/>
        </w:rPr>
        <w:t xml:space="preserve">Por qué: </w:t>
      </w:r>
      <w:r>
        <w:rPr>
          <w:sz w:val="21"/>
          <w:szCs w:val="21"/>
        </w:rPr>
        <w:t xml:space="preserve">es el insumo que hace falta para programar el modelo de roles (Fase 2) y la regla de acceso interno/externo (Fase 3) de la propuesta del proyecto. Sin esta clasificación no se puede definir qué debería verse sin login desde la red interna.</w:t>
      </w:r>
    </w:p>
    <w:p>
      <w:pPr>
        <w:spacing w:after="140" w:line="300"/>
      </w:pPr>
      <w:r>
        <w:rPr>
          <w:sz w:val="21"/>
          <w:szCs w:val="21"/>
        </w:rPr>
        <w:t xml:space="preserve">Sugerencia de método: recorrer cada página/sección actual del sitio y completar una tabla como esta, usando el organigrama (pages/organigrama.html) como referencia de roles: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700"/>
        <w:gridCol w:w="1700"/>
        <w:gridCol w:w="2200"/>
        <w:gridCol w:w="2800"/>
      </w:tblGrid>
      <w:tr>
        <w:trPr>
          <w:tblHeader/>
        </w:trPr>
        <w:tc>
          <w:tcPr>
            <w:tcW w:type="dxa" w:w="2700"/>
            <w:shd w:fill="1B2A4A" w:color="auto" w:val="clear"/>
            <w:tcMar>
              <w:top w:type="dxa" w:w="100"/>
              <w:left w:type="dxa" w:w="120"/>
              <w:bottom w:type="dxa" w:w="100"/>
              <w:right w:type="dxa" w:w="120"/>
            </w:tcMar>
          </w:tcPr>
          <w:p>
            <w:r>
              <w:rPr>
                <w:b/>
                <w:bCs/>
                <w:color w:val="FFFFFF"/>
                <w:sz w:val="19"/>
                <w:szCs w:val="19"/>
              </w:rPr>
              <w:t xml:space="preserve">Página / sección</w:t>
            </w:r>
          </w:p>
        </w:tc>
        <w:tc>
          <w:tcPr>
            <w:tcW w:type="dxa" w:w="1700"/>
            <w:shd w:fill="1B2A4A" w:color="auto" w:val="clear"/>
            <w:tcMar>
              <w:top w:type="dxa" w:w="100"/>
              <w:left w:type="dxa" w:w="120"/>
              <w:bottom w:type="dxa" w:w="100"/>
              <w:right w:type="dxa" w:w="120"/>
            </w:tcMar>
          </w:tcPr>
          <w:p>
            <w:r>
              <w:rPr>
                <w:b/>
                <w:bCs/>
                <w:color w:val="FFFFFF"/>
                <w:sz w:val="19"/>
                <w:szCs w:val="19"/>
              </w:rPr>
              <w:t xml:space="preserve">¿Pública o por rol?</w:t>
            </w:r>
          </w:p>
        </w:tc>
        <w:tc>
          <w:tcPr>
            <w:tcW w:type="dxa" w:w="2200"/>
            <w:shd w:fill="1B2A4A" w:color="auto" w:val="clear"/>
            <w:tcMar>
              <w:top w:type="dxa" w:w="100"/>
              <w:left w:type="dxa" w:w="120"/>
              <w:bottom w:type="dxa" w:w="100"/>
              <w:right w:type="dxa" w:w="120"/>
            </w:tcMar>
          </w:tcPr>
          <w:p>
            <w:r>
              <w:rPr>
                <w:b/>
                <w:bCs/>
                <w:color w:val="FFFFFF"/>
                <w:sz w:val="19"/>
                <w:szCs w:val="19"/>
              </w:rPr>
              <w:t xml:space="preserve">Rol(es) con acceso</w:t>
            </w:r>
          </w:p>
        </w:tc>
        <w:tc>
          <w:tcPr>
            <w:tcW w:type="dxa" w:w="2800"/>
            <w:shd w:fill="1B2A4A" w:color="auto" w:val="clear"/>
            <w:tcMar>
              <w:top w:type="dxa" w:w="100"/>
              <w:left w:type="dxa" w:w="120"/>
              <w:bottom w:type="dxa" w:w="100"/>
              <w:right w:type="dxa" w:w="120"/>
            </w:tcMar>
          </w:tcPr>
          <w:p>
            <w:r>
              <w:rPr>
                <w:b/>
                <w:bCs/>
                <w:color w:val="FFFFFF"/>
                <w:sz w:val="19"/>
                <w:szCs w:val="19"/>
              </w:rPr>
              <w:t xml:space="preserve">Rol(es) que pueden editar</w:t>
            </w:r>
          </w:p>
        </w:tc>
      </w:tr>
      <w:tr>
        <w:tc>
          <w:tcPr>
            <w:tcW w:type="dxa" w:w="2700"/>
            <w:shd w:fill="FFFFFF" w:color="auto" w:val="clear"/>
            <w:tcMar>
              <w:top w:type="dxa" w:w="100"/>
              <w:left w:type="dxa" w:w="120"/>
              <w:bottom w:type="dxa" w:w="100"/>
              <w:right w:type="dxa" w:w="120"/>
            </w:tcMar>
          </w:tcPr>
          <w:p>
            <w:r>
              <w:rPr>
                <w:b w:val="false"/>
                <w:bCs w:val="false"/>
                <w:color w:val="1A1A1A"/>
                <w:sz w:val="19"/>
                <w:szCs w:val="19"/>
              </w:rPr>
              <w:t xml:space="preserve">(ejemplo) Mapa de Servicios</w:t>
            </w:r>
          </w:p>
        </w:tc>
        <w:tc>
          <w:tcPr>
            <w:tcW w:type="dxa" w:w="1700"/>
            <w:shd w:fill="FFFFFF" w:color="auto" w:val="clear"/>
            <w:tcMar>
              <w:top w:type="dxa" w:w="100"/>
              <w:left w:type="dxa" w:w="120"/>
              <w:bottom w:type="dxa" w:w="100"/>
              <w:right w:type="dxa" w:w="120"/>
            </w:tcMar>
          </w:tcPr>
          <w:p>
            <w:r>
              <w:rPr>
                <w:b w:val="false"/>
                <w:bCs w:val="false"/>
                <w:color w:val="1A1A1A"/>
                <w:sz w:val="19"/>
                <w:szCs w:val="19"/>
              </w:rPr>
              <w:t xml:space="preserve">Pública</w:t>
            </w:r>
          </w:p>
        </w:tc>
        <w:tc>
          <w:tcPr>
            <w:tcW w:type="dxa" w:w="2200"/>
            <w:shd w:fill="FFFFFF" w:color="auto" w:val="clear"/>
            <w:tcMar>
              <w:top w:type="dxa" w:w="100"/>
              <w:left w:type="dxa" w:w="120"/>
              <w:bottom w:type="dxa" w:w="100"/>
              <w:right w:type="dxa" w:w="120"/>
            </w:tcMar>
          </w:tcPr>
          <w:p>
            <w:r>
              <w:rPr>
                <w:b w:val="false"/>
                <w:bCs w:val="false"/>
                <w:color w:val="1A1A1A"/>
                <w:sz w:val="19"/>
                <w:szCs w:val="19"/>
              </w:rPr>
              <w:t xml:space="preserve">Todos</w:t>
            </w:r>
          </w:p>
        </w:tc>
        <w:tc>
          <w:tcPr>
            <w:tcW w:type="dxa" w:w="2800"/>
            <w:shd w:fill="FFFFFF" w:color="auto" w:val="clear"/>
            <w:tcMar>
              <w:top w:type="dxa" w:w="100"/>
              <w:left w:type="dxa" w:w="120"/>
              <w:bottom w:type="dxa" w:w="100"/>
              <w:right w:type="dxa" w:w="120"/>
            </w:tcMar>
          </w:tcPr>
          <w:p>
            <w:r>
              <w:rPr>
                <w:b w:val="false"/>
                <w:bCs w:val="false"/>
                <w:color w:val="1A1A1A"/>
                <w:sz w:val="19"/>
                <w:szCs w:val="19"/>
              </w:rPr>
              <w:t xml:space="preserve">A definir</w:t>
            </w:r>
          </w:p>
        </w:tc>
      </w:tr>
      <w:tr>
        <w:tc>
          <w:tcPr>
            <w:tcW w:type="dxa" w:w="2700"/>
            <w:shd w:fill="F2F4F7" w:color="auto" w:val="clear"/>
            <w:tcMar>
              <w:top w:type="dxa" w:w="100"/>
              <w:left w:type="dxa" w:w="120"/>
              <w:bottom w:type="dxa" w:w="100"/>
              <w:right w:type="dxa" w:w="120"/>
            </w:tcMar>
          </w:tcPr>
          <w:p>
            <w:r>
              <w:rPr>
                <w:b w:val="false"/>
                <w:bCs w:val="false"/>
                <w:color w:val="1A1A1A"/>
                <w:sz w:val="19"/>
                <w:szCs w:val="19"/>
              </w:rPr>
              <w:t xml:space="preserve">(ejemplo) Sector Comunicaciones</w:t>
            </w:r>
          </w:p>
        </w:tc>
        <w:tc>
          <w:tcPr>
            <w:tcW w:type="dxa" w:w="1700"/>
            <w:shd w:fill="F2F4F7" w:color="auto" w:val="clear"/>
            <w:tcMar>
              <w:top w:type="dxa" w:w="100"/>
              <w:left w:type="dxa" w:w="120"/>
              <w:bottom w:type="dxa" w:w="100"/>
              <w:right w:type="dxa" w:w="120"/>
            </w:tcMar>
          </w:tcPr>
          <w:p>
            <w:r>
              <w:rPr>
                <w:b w:val="false"/>
                <w:bCs w:val="false"/>
                <w:color w:val="1A1A1A"/>
                <w:sz w:val="19"/>
                <w:szCs w:val="19"/>
              </w:rPr>
              <w:t xml:space="preserve">Por rol</w:t>
            </w:r>
          </w:p>
        </w:tc>
        <w:tc>
          <w:tcPr>
            <w:tcW w:type="dxa" w:w="2200"/>
            <w:shd w:fill="F2F4F7" w:color="auto" w:val="clear"/>
            <w:tcMar>
              <w:top w:type="dxa" w:w="100"/>
              <w:left w:type="dxa" w:w="120"/>
              <w:bottom w:type="dxa" w:w="100"/>
              <w:right w:type="dxa" w:w="120"/>
            </w:tcMar>
          </w:tcPr>
          <w:p>
            <w:r>
              <w:rPr>
                <w:b w:val="false"/>
                <w:bCs w:val="false"/>
                <w:color w:val="1A1A1A"/>
                <w:sz w:val="19"/>
                <w:szCs w:val="19"/>
              </w:rPr>
              <w:t xml:space="preserve">A definir</w:t>
            </w:r>
          </w:p>
        </w:tc>
        <w:tc>
          <w:tcPr>
            <w:tcW w:type="dxa" w:w="2800"/>
            <w:shd w:fill="F2F4F7" w:color="auto" w:val="clear"/>
            <w:tcMar>
              <w:top w:type="dxa" w:w="100"/>
              <w:left w:type="dxa" w:w="120"/>
              <w:bottom w:type="dxa" w:w="100"/>
              <w:right w:type="dxa" w:w="120"/>
            </w:tcMar>
          </w:tcPr>
          <w:p>
            <w:r>
              <w:rPr>
                <w:b w:val="false"/>
                <w:bCs w:val="false"/>
                <w:color w:val="1A1A1A"/>
                <w:sz w:val="19"/>
                <w:szCs w:val="19"/>
              </w:rPr>
              <w:t xml:space="preserve">A definir</w:t>
            </w:r>
          </w:p>
        </w:tc>
      </w:tr>
      <w:tr>
        <w:tc>
          <w:tcPr>
            <w:tcW w:type="dxa" w:w="2700"/>
            <w:shd w:fill="FFFFFF" w:color="auto" w:val="clear"/>
            <w:tcMar>
              <w:top w:type="dxa" w:w="100"/>
              <w:left w:type="dxa" w:w="120"/>
              <w:bottom w:type="dxa" w:w="100"/>
              <w:right w:type="dxa" w:w="120"/>
            </w:tcMar>
          </w:tcPr>
          <w:p>
            <w:r>
              <w:rPr>
                <w:b w:val="false"/>
                <w:bCs w:val="false"/>
                <w:color w:val="1A1A1A"/>
                <w:sz w:val="19"/>
                <w:szCs w:val="19"/>
              </w:rPr>
              <w:t xml:space="preserve">…</w:t>
            </w:r>
          </w:p>
        </w:tc>
        <w:tc>
          <w:tcPr>
            <w:tcW w:type="dxa" w:w="1700"/>
            <w:shd w:fill="FFFFFF" w:color="auto" w:val="clear"/>
            <w:tcMar>
              <w:top w:type="dxa" w:w="100"/>
              <w:left w:type="dxa" w:w="120"/>
              <w:bottom w:type="dxa" w:w="100"/>
              <w:right w:type="dxa" w:w="120"/>
            </w:tcMar>
          </w:tcPr>
          <w:p>
            <w:r>
              <w:rPr>
                <w:b w:val="false"/>
                <w:bCs w:val="false"/>
                <w:color w:val="1A1A1A"/>
                <w:sz w:val="19"/>
                <w:szCs w:val="19"/>
              </w:rPr>
              <w:t xml:space="preserve">…</w:t>
            </w:r>
          </w:p>
        </w:tc>
        <w:tc>
          <w:tcPr>
            <w:tcW w:type="dxa" w:w="2200"/>
            <w:shd w:fill="FFFFFF" w:color="auto" w:val="clear"/>
            <w:tcMar>
              <w:top w:type="dxa" w:w="100"/>
              <w:left w:type="dxa" w:w="120"/>
              <w:bottom w:type="dxa" w:w="100"/>
              <w:right w:type="dxa" w:w="120"/>
            </w:tcMar>
          </w:tcPr>
          <w:p>
            <w:r>
              <w:rPr>
                <w:b w:val="false"/>
                <w:bCs w:val="false"/>
                <w:color w:val="1A1A1A"/>
                <w:sz w:val="19"/>
                <w:szCs w:val="19"/>
              </w:rPr>
              <w:t xml:space="preserve">…</w:t>
            </w:r>
          </w:p>
        </w:tc>
        <w:tc>
          <w:tcPr>
            <w:tcW w:type="dxa" w:w="2800"/>
            <w:shd w:fill="FFFFFF" w:color="auto" w:val="clear"/>
            <w:tcMar>
              <w:top w:type="dxa" w:w="100"/>
              <w:left w:type="dxa" w:w="120"/>
              <w:bottom w:type="dxa" w:w="100"/>
              <w:right w:type="dxa" w:w="120"/>
            </w:tcMar>
          </w:tcPr>
          <w:p>
            <w:r>
              <w:rPr>
                <w:b w:val="false"/>
                <w:bCs w:val="false"/>
                <w:color w:val="1A1A1A"/>
                <w:sz w:val="19"/>
                <w:szCs w:val="19"/>
              </w:rPr>
              <w:t xml:space="preserve">…</w:t>
            </w:r>
          </w:p>
        </w:tc>
      </w:tr>
    </w:tbl>
    <w:p>
      <w:pPr>
        <w:spacing w:before="200"/>
      </w:pPr>
    </w:p>
    <w:p>
      <w:pPr>
        <w:pStyle w:val="Heading1"/>
        <w:pBdr>
          <w:bottom w:val="single" w:color="C0392B" w:sz="6" w:space="4"/>
        </w:pBdr>
        <w:spacing w:after="160" w:before="400"/>
      </w:pPr>
      <w:r>
        <w:rPr>
          <w:b/>
          <w:bCs/>
          <w:color w:val="1B2A4A"/>
          <w:sz w:val="26"/>
          <w:szCs w:val="26"/>
        </w:rPr>
        <w:t xml:space="preserve">5. Precargar el dominio externo en Coolify</w:t>
      </w:r>
      <w:r>
        <w:rPr>
          <w:b/>
          <w:bCs/>
          <w:color w:val="B45309"/>
          <w:sz w:val="18"/>
          <w:szCs w:val="18"/>
        </w:rPr>
        <w:t xml:space="preserve">   ◻ PENDIENTE</w:t>
      </w:r>
    </w:p>
    <w:p>
      <w:pPr>
        <w:spacing w:after="100" w:line="280"/>
      </w:pPr>
      <w:r>
        <w:rPr>
          <w:b/>
          <w:bCs/>
          <w:color w:val="1B2A4A"/>
          <w:sz w:val="21"/>
          <w:szCs w:val="21"/>
        </w:rPr>
        <w:t xml:space="preserve">Por qué: </w:t>
      </w:r>
      <w:r>
        <w:rPr>
          <w:sz w:val="21"/>
          <w:szCs w:val="21"/>
        </w:rPr>
        <w:t xml:space="preserve">para no perder tiempo cuando Redes termine su parte — el certificado recién se emite cuando el DNS y el port forwarding estén activos, pero el campo se puede dejar cargado desde antes.</w:t>
      </w:r>
    </w:p>
    <w:p>
      <w:pPr>
        <w:pStyle w:val="ListParagraph"/>
        <w:numPr>
          <w:ilvl w:val="0"/>
          <w:numId w:val="6"/>
        </w:numPr>
        <w:spacing w:after="90" w:line="280"/>
      </w:pPr>
      <w:r>
        <w:rPr>
          <w:sz w:val="21"/>
          <w:szCs w:val="21"/>
        </w:rPr>
        <w:t xml:space="preserve">En Coolify, entrar a la aplicación Web Interna SP → pestaña Domains.</w:t>
      </w:r>
    </w:p>
    <w:p>
      <w:pPr>
        <w:pStyle w:val="ListParagraph"/>
        <w:numPr>
          <w:ilvl w:val="0"/>
          <w:numId w:val="6"/>
        </w:numPr>
        <w:spacing w:after="90" w:line="280"/>
      </w:pPr>
      <w:r>
        <w:rPr>
          <w:sz w:val="21"/>
          <w:szCs w:val="21"/>
        </w:rPr>
        <w:t xml:space="preserve">Agregar el dominio externo definitivo, con https://, por ejemplo: https://intranet.spseguridad.com.ar</w:t>
      </w:r>
    </w:p>
    <w:p>
      <w:pPr>
        <w:pStyle w:val="ListParagraph"/>
        <w:numPr>
          <w:ilvl w:val="0"/>
          <w:numId w:val="6"/>
        </w:numPr>
        <w:spacing w:after="90" w:line="280"/>
      </w:pPr>
      <w:r>
        <w:rPr>
          <w:sz w:val="21"/>
          <w:szCs w:val="21"/>
        </w:rPr>
        <w:t xml:space="preserve">Guardar. Mientras el DNS no apunte correctamente, el certificado no se va a emitir todavía — es esperable, no es un error.</w:t>
      </w:r>
    </w:p>
    <w:p>
      <w:pPr>
        <w:pStyle w:val="ListParagraph"/>
        <w:numPr>
          <w:ilvl w:val="0"/>
          <w:numId w:val="6"/>
        </w:numPr>
        <w:spacing w:after="90" w:line="280"/>
      </w:pPr>
      <w:r>
        <w:rPr>
          <w:sz w:val="21"/>
          <w:szCs w:val="21"/>
        </w:rPr>
        <w:t xml:space="preserve">Una vez que Redes confirme que completó el DNS y el port forwarding, volver a esta pantalla y hacer Redeploy para que Coolify intente emitir el certificado.</w:t>
      </w:r>
    </w:p>
    <w:p>
      <w:pPr>
        <w:pStyle w:val="Heading1"/>
        <w:pBdr>
          <w:bottom w:val="single" w:color="C0392B" w:sz="6" w:space="4"/>
        </w:pBdr>
        <w:spacing w:after="160" w:before="400"/>
      </w:pPr>
      <w:r>
        <w:rPr>
          <w:b/>
          <w:bCs/>
          <w:color w:val="1B2A4A"/>
          <w:sz w:val="26"/>
          <w:szCs w:val="26"/>
        </w:rPr>
        <w:t xml:space="preserve">6. Adelantar el servicio de integración de datos (en paralelo, opcional)</w:t>
      </w:r>
      <w:r>
        <w:rPr>
          <w:b/>
          <w:bCs/>
          <w:color w:val="B45309"/>
          <w:sz w:val="18"/>
          <w:szCs w:val="18"/>
        </w:rPr>
        <w:t xml:space="preserve">   ◻ PENDIENTE</w:t>
      </w:r>
    </w:p>
    <w:p>
      <w:pPr>
        <w:spacing w:after="100" w:line="280"/>
      </w:pPr>
      <w:r>
        <w:rPr>
          <w:b/>
          <w:bCs/>
          <w:color w:val="1B2A4A"/>
          <w:sz w:val="21"/>
          <w:szCs w:val="21"/>
        </w:rPr>
        <w:t xml:space="preserve">Por qué: </w:t>
      </w:r>
      <w:r>
        <w:rPr>
          <w:sz w:val="21"/>
          <w:szCs w:val="21"/>
        </w:rPr>
        <w:t xml:space="preserve">es un proyecto independiente del anterior — no depende de que Redes resuelva nada, así que se puede construir y probar ya mismo con el dominio interno de prueba (*.sslip.io) que ya está funcionando en Coolify.</w:t>
      </w:r>
    </w:p>
    <w:p>
      <w:pPr>
        <w:pStyle w:val="ListParagraph"/>
        <w:numPr>
          <w:ilvl w:val="0"/>
          <w:numId w:val="5"/>
        </w:numPr>
        <w:spacing w:after="80" w:line="280"/>
      </w:pPr>
      <w:r>
        <w:rPr>
          <w:sz w:val="21"/>
          <w:szCs w:val="21"/>
        </w:rPr>
        <w:t xml:space="preserve">Definir con el responsable técnico del sistema externo qué datos va a enviar, en qué formato (JSON) y con qué frecuencia, antes de empezar a programar el endpoint que los recibe.</w:t>
      </w:r>
    </w:p>
    <w:p>
      <w:pPr>
        <w:pStyle w:val="ListParagraph"/>
        <w:numPr>
          <w:ilvl w:val="0"/>
          <w:numId w:val="5"/>
        </w:numPr>
        <w:spacing w:after="80" w:line="280"/>
      </w:pPr>
      <w:r>
        <w:rPr>
          <w:sz w:val="21"/>
          <w:szCs w:val="21"/>
        </w:rPr>
        <w:t xml:space="preserve">Definir el token/clave secreta que van a compartir ambos sistemas para autenticar cada request.</w:t>
      </w:r>
    </w:p>
    <w:p>
      <w:pPr>
        <w:pStyle w:val="ListParagraph"/>
        <w:numPr>
          <w:ilvl w:val="0"/>
          <w:numId w:val="5"/>
        </w:numPr>
        <w:spacing w:after="80" w:line="280"/>
      </w:pPr>
      <w:r>
        <w:rPr>
          <w:sz w:val="21"/>
          <w:szCs w:val="21"/>
        </w:rPr>
        <w:t xml:space="preserve">Una vez definido esto, se puede construir y desplegar el servicio de inmediato.</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abstractNum>
  <w:abstractNum w:abstractNumId="3" w15:restartNumberingAfterBreak="0">
    <w:multiLevelType w:val="hybridMultilevel"/>
    <w:lvl w:ilvl="0" w15:tentative="1">
      <w:start w:val="1"/>
      <w:numFmt w:val="decimal"/>
      <w:lvlText w:val="%1."/>
      <w:lvlJc w:val="left"/>
      <w:pPr>
        <w:ind w:left="420" w:hanging="320"/>
      </w:pPr>
    </w:lvl>
  </w:abstractNum>
  <w:abstractNum w:abstractNumId="4" w15:restartNumberingAfterBreak="0">
    <w:multiLevelType w:val="hybridMultilevel"/>
    <w:lvl w:ilvl="0" w15:tentative="1">
      <w:start w:val="1"/>
      <w:numFmt w:val="decimal"/>
      <w:lvlText w:val="%1."/>
      <w:lvlJc w:val="left"/>
      <w:pPr>
        <w:ind w:left="420" w:hanging="320"/>
      </w:pPr>
    </w:lvl>
  </w:abstractNum>
  <w:abstractNum w:abstractNumId="5" w15:restartNumberingAfterBreak="0">
    <w:multiLevelType w:val="hybridMultilevel"/>
    <w:lvl w:ilvl="0" w15:tentative="1">
      <w:start w:val="1"/>
      <w:numFmt w:val="decimal"/>
      <w:lvlText w:val="%1."/>
      <w:lvlJc w:val="left"/>
      <w:pPr>
        <w:ind w:left="420" w:hanging="320"/>
      </w:pPr>
    </w:lvl>
  </w:abstractNum>
  <w:abstractNum w:abstractNumId="6" w15:restartNumberingAfterBreak="0">
    <w:multiLevelType w:val="hybridMultilevel"/>
    <w:lvl w:ilvl="0" w15:tentative="1">
      <w:start w:val="1"/>
      <w:numFmt w:val="decimal"/>
      <w:lvlText w:val="%1."/>
      <w:lvlJc w:val="left"/>
      <w:pPr>
        <w:ind w:left="420" w:hanging="320"/>
      </w:pPr>
    </w:lvl>
  </w:abstractNum>
  <w:num w:numId="1">
    <w:abstractNumId w:val="1"/>
    <w:lvlOverride w:ilvl="0">
      <w:startOverride w:val="1"/>
    </w:lvlOverride>
  </w:num>
  <w:num w:numId="2">
    <w:abstractNumId w:val="5"/>
    <w:lvlOverride w:ilvl="0">
      <w:startOverride w:val="1"/>
    </w:lvlOverride>
  </w:num>
  <w:num w:numId="3">
    <w:abstractNumId w:val="6"/>
    <w:lvlOverride w:ilvl="0">
      <w:startOverride w:val="1"/>
    </w:lvlOverride>
  </w:num>
  <w:num w:numId="4">
    <w:abstractNumId w:val="3"/>
    <w:lvlOverride w:ilvl="0">
      <w:startOverride w:val="1"/>
    </w:lvlOverride>
  </w:num>
  <w:num w:numId="5">
    <w:abstractNumId w:val="2"/>
    <w:lvlOverride w:ilvl="0">
      <w:startOverride w:val="1"/>
    </w:lvlOverride>
  </w:num>
  <w:num w:numId="6">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2026-08-07T19:45:15.793Z</dcterms:created>
  <dcterms:modified xsi:type="dcterms:W3CDTF">2026-08-07T19:45:15.794Z</dcterms:modified>
</cp:coreProperties>
</file>

<file path=docProps/custom.xml><?xml version="1.0" encoding="utf-8"?>
<Properties xmlns="http://schemas.openxmlformats.org/officeDocument/2006/custom-properties" xmlns:vt="http://schemas.openxmlformats.org/officeDocument/2006/docPropsVTypes"/>
</file>