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C0392B"/>
          <w:sz w:val="20"/>
          <w:szCs w:val="20"/>
        </w:rPr>
        <w:t xml:space="preserve">PROPUESTA DE PROYECTO</w:t>
      </w:r>
    </w:p>
    <w:p>
      <w:pPr>
        <w:spacing w:after="40"/>
      </w:pPr>
      <w:r>
        <w:rPr>
          <w:b/>
          <w:bCs/>
          <w:color w:val="1B2A4A"/>
          <w:sz w:val="34"/>
          <w:szCs w:val="34"/>
        </w:rPr>
        <w:t xml:space="preserve">Autenticación, roles y administración de contenidos</w:t>
      </w:r>
    </w:p>
    <w:p>
      <w:pPr>
        <w:spacing w:after="300"/>
      </w:pPr>
      <w:r>
        <w:rPr>
          <w:color w:val="6B7280"/>
          <w:sz w:val="22"/>
          <w:szCs w:val="22"/>
        </w:rPr>
        <w:t xml:space="preserve">Web Interna SP — Portal interno SP Seguridad Privada</w:t>
      </w:r>
    </w:p>
    <w:p>
      <w:pPr>
        <w:pBdr>
          <w:bottom w:val="single" w:color="D0D5DD" w:sz="4" w:space="4"/>
        </w:pBdr>
        <w:spacing w:after="300"/>
      </w:pPr>
      <w:r>
        <w:rPr>
          <w:i/>
          <w:iCs/>
          <w:color w:val="6B7280"/>
          <w:sz w:val="18"/>
          <w:szCs w:val="18"/>
        </w:rPr>
        <w:t xml:space="preserve">Preparado para: Martin Wolcan  ·  Fecha: 23 de julio de 2026</w:t>
      </w:r>
    </w:p>
    <w:p>
      <w:pPr>
        <w:pStyle w:val="Heading1"/>
        <w:pBdr>
          <w:bottom w:val="single" w:color="C0392B" w:sz="6" w:space="4"/>
        </w:pBdr>
        <w:spacing w:after="160" w:before="400"/>
      </w:pPr>
      <w:r>
        <w:rPr>
          <w:b/>
          <w:bCs/>
          <w:color w:val="1B2A4A"/>
          <w:sz w:val="26"/>
          <w:szCs w:val="26"/>
        </w:rPr>
        <w:t xml:space="preserve">1. Resumen ejecutivo</w:t>
      </w:r>
    </w:p>
    <w:p>
      <w:pPr>
        <w:spacing w:after="160" w:line="300"/>
      </w:pPr>
      <w:r>
        <w:rPr>
          <w:sz w:val="21"/>
          <w:szCs w:val="21"/>
        </w:rPr>
        <w:t xml:space="preserve">Hoy el portal interno (“Web Interna SP”) es un sitio estático: HTML, CSS y JavaScript sin backend ni base de datos, servido como archivos y editado directamente en el código. Agregar login, roles según el organigrama, edición de contenidos y un superadministrador no es una ampliación menor: implica sumarle al sitio una capa de autenticación, una base de datos y un panel de administración, es decir, convertirlo en una aplicación web real.</w:t>
      </w:r>
    </w:p>
    <w:p>
      <w:pPr>
        <w:spacing w:after="160" w:line="300"/>
      </w:pPr>
      <w:r>
        <w:rPr>
          <w:sz w:val="21"/>
          <w:szCs w:val="21"/>
        </w:rPr>
        <w:t xml:space="preserve">La recomendación de este documento es no construir esa capa desde cero, sino adaptar Supabase (Postgres + Autenticación, de código abierto) para resolver login, sesiones y permisos, y construir sobre eso un panel de edición de contenidos liviano que respete el diseño actual del sitio. Esto reduce fuertemente el riesgo de seguridad (no se programan a mano el manejo de contraseñas ni las sesiones) y acelera los tiempos de entrega.</w:t>
      </w:r>
    </w:p>
    <w:p>
      <w:pPr>
        <w:spacing w:after="100" w:line="280"/>
      </w:pPr>
      <w:r>
        <w:rPr>
          <w:b/>
          <w:bCs/>
          <w:color w:val="1B2A4A"/>
          <w:sz w:val="21"/>
          <w:szCs w:val="21"/>
        </w:rPr>
        <w:t xml:space="preserve">Duración estimada total: </w:t>
      </w:r>
      <w:r>
        <w:rPr>
          <w:sz w:val="21"/>
          <w:szCs w:val="21"/>
        </w:rPr>
        <w:t xml:space="preserve">6 a 8 semanas de desarrollo, en las condiciones y con las dependencias descriptas en este documento.</w:t>
      </w:r>
    </w:p>
    <w:p>
      <w:pPr>
        <w:pStyle w:val="Heading1"/>
        <w:pBdr>
          <w:bottom w:val="single" w:color="C0392B" w:sz="6" w:space="4"/>
        </w:pBdr>
        <w:spacing w:after="160" w:before="400"/>
      </w:pPr>
      <w:r>
        <w:rPr>
          <w:b/>
          <w:bCs/>
          <w:color w:val="1B2A4A"/>
          <w:sz w:val="26"/>
          <w:szCs w:val="26"/>
        </w:rPr>
        <w:t xml:space="preserve">2. Diagnóstico del sitio actual</w:t>
      </w:r>
    </w:p>
    <w:p>
      <w:pPr>
        <w:spacing w:after="160" w:line="300"/>
      </w:pPr>
      <w:r>
        <w:rPr>
          <w:sz w:val="21"/>
          <w:szCs w:val="21"/>
        </w:rPr>
        <w:t xml:space="preserve">Relevamiento del repositorio (martinwolcansp/web_interna_sp):</w:t>
      </w:r>
    </w:p>
    <w:p>
      <w:pPr>
        <w:pStyle w:val="ListParagraph"/>
        <w:numPr>
          <w:ilvl w:val="0"/>
          <w:numId w:val="2"/>
        </w:numPr>
        <w:spacing w:after="80" w:line="280"/>
      </w:pPr>
      <w:r>
        <w:rPr>
          <w:sz w:val="21"/>
          <w:szCs w:val="21"/>
        </w:rPr>
        <w:t xml:space="preserve">Sitio multipágina en HTML semántico + CSS modular (tokens, base, componentes) + JavaScript vanilla, sin framework ni proceso de build.</w:t>
      </w:r>
    </w:p>
    <w:p>
      <w:pPr>
        <w:pStyle w:val="ListParagraph"/>
        <w:numPr>
          <w:ilvl w:val="0"/>
          <w:numId w:val="2"/>
        </w:numPr>
        <w:spacing w:after="80" w:line="280"/>
      </w:pPr>
      <w:r>
        <w:rPr>
          <w:sz w:val="21"/>
          <w:szCs w:val="21"/>
        </w:rPr>
        <w:t xml:space="preserve">Se sirve como archivos estáticos (script “serve .”); no hay servidor de aplicación ni base de datos.</w:t>
      </w:r>
    </w:p>
    <w:p>
      <w:pPr>
        <w:pStyle w:val="ListParagraph"/>
        <w:numPr>
          <w:ilvl w:val="0"/>
          <w:numId w:val="2"/>
        </w:numPr>
        <w:spacing w:after="80" w:line="280"/>
      </w:pPr>
      <w:r>
        <w:rPr>
          <w:sz w:val="21"/>
          <w:szCs w:val="21"/>
        </w:rPr>
        <w:t xml:space="preserve">El contenido de cada página (fichas de producto, mapa de servicios, organigrama) está escrito directamente en el HTML y se actualiza editando el código y subiéndolo a GitHub.</w:t>
      </w:r>
    </w:p>
    <w:p>
      <w:pPr>
        <w:pStyle w:val="ListParagraph"/>
        <w:numPr>
          <w:ilvl w:val="0"/>
          <w:numId w:val="2"/>
        </w:numPr>
        <w:spacing w:after="80" w:line="280"/>
      </w:pPr>
      <w:r>
        <w:rPr>
          <w:sz w:val="21"/>
          <w:szCs w:val="21"/>
        </w:rPr>
        <w:t xml:space="preserve">No existe ningún mecanismo de autenticación ni de control de acceso: todo el contenido es público para quien tenga la URL.</w:t>
      </w:r>
    </w:p>
    <w:p>
      <w:pPr>
        <w:spacing w:after="160" w:line="300"/>
      </w:pPr>
      <w:r>
        <w:rPr>
          <w:sz w:val="21"/>
          <w:szCs w:val="21"/>
        </w:rPr>
        <w:t xml:space="preserve">Consecuencia directa: cualquier control de acceso implementado solo en el navegador (ocultar un menú con JavaScript) no es seguridad real, porque el HTML completo sigue siendo accesible. El control de acceso por rol tiene que aplicarse del lado del servidor.</w:t>
      </w:r>
    </w:p>
    <w:p>
      <w:pPr>
        <w:pStyle w:val="Heading1"/>
        <w:pBdr>
          <w:bottom w:val="single" w:color="C0392B" w:sz="6" w:space="4"/>
        </w:pBdr>
        <w:spacing w:after="160" w:before="400"/>
      </w:pPr>
      <w:r>
        <w:rPr>
          <w:b/>
          <w:bCs/>
          <w:color w:val="1B2A4A"/>
          <w:sz w:val="26"/>
          <w:szCs w:val="26"/>
        </w:rPr>
        <w:t xml:space="preserve">3. Objetivo del proyecto</w:t>
      </w:r>
    </w:p>
    <w:p>
      <w:pPr>
        <w:spacing w:after="160" w:line="300"/>
      </w:pPr>
      <w:r>
        <w:rPr>
          <w:sz w:val="21"/>
          <w:szCs w:val="21"/>
        </w:rPr>
        <w:t xml:space="preserve">Incorporar autenticación, control de acceso por rol y un sistema de administración de contenidos al portal interno, preservando el diseño y la estructura de páginas ya construidos, y sin necesidad de mantener a mano el código de login, contraseñas y sesiones.</w:t>
      </w:r>
    </w:p>
    <w:p>
      <w:pPr>
        <w:pStyle w:val="Heading1"/>
        <w:pBdr>
          <w:bottom w:val="single" w:color="C0392B" w:sz="6" w:space="4"/>
        </w:pBdr>
        <w:spacing w:after="160" w:before="400"/>
      </w:pPr>
      <w:r>
        <w:rPr>
          <w:b/>
          <w:bCs/>
          <w:color w:val="1B2A4A"/>
          <w:sz w:val="26"/>
          <w:szCs w:val="26"/>
        </w:rPr>
        <w:t xml:space="preserve">4. Alcance funcional</w:t>
      </w:r>
    </w:p>
    <w:p>
      <w:pPr>
        <w:spacing w:after="160" w:line="300"/>
      </w:pPr>
      <w:r>
        <w:rPr>
          <w:sz w:val="21"/>
          <w:szCs w:val="21"/>
        </w:rPr>
        <w:t xml:space="preserve">Los cinco requerimientos solicitados, con su nivel de complejidad relativa una vez adoptada la plataforma recomendada (Supabase):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3600"/>
      </w:tblGrid>
      <w:tr>
        <w:trPr>
          <w:tblHeader/>
        </w:trPr>
        <w:tc>
          <w:tcPr>
            <w:tcW w:type="dxa" w:w="700"/>
            <w:shd w:fill="1B2A4A" w:color="auto" w:val="clear"/>
            <w:tcMar>
              <w:top w:type="dxa" w:w="100"/>
              <w:left w:type="dxa" w:w="120"/>
              <w:bottom w:type="dxa" w:w="100"/>
              <w:right w:type="dxa" w:w="120"/>
            </w:tcMar>
          </w:tcPr>
          <w:p>
            <w:r>
              <w:rPr>
                <w:b/>
                <w:bCs/>
                <w:color w:val="FFFFFF"/>
                <w:sz w:val="19"/>
                <w:szCs w:val="19"/>
              </w:rPr>
              <w:t xml:space="preserve">#</w:t>
            </w:r>
          </w:p>
        </w:tc>
        <w:tc>
          <w:tcPr>
            <w:tcW w:type="dxa" w:w="4600"/>
            <w:shd w:fill="1B2A4A" w:color="auto" w:val="clear"/>
            <w:tcMar>
              <w:top w:type="dxa" w:w="100"/>
              <w:left w:type="dxa" w:w="120"/>
              <w:bottom w:type="dxa" w:w="100"/>
              <w:right w:type="dxa" w:w="120"/>
            </w:tcMar>
          </w:tcPr>
          <w:p>
            <w:r>
              <w:rPr>
                <w:b/>
                <w:bCs/>
                <w:color w:val="FFFFFF"/>
                <w:sz w:val="19"/>
                <w:szCs w:val="19"/>
              </w:rPr>
              <w:t xml:space="preserve">Requerimiento</w:t>
            </w:r>
          </w:p>
        </w:tc>
        <w:tc>
          <w:tcPr>
            <w:tcW w:type="dxa" w:w="3600"/>
            <w:shd w:fill="1B2A4A" w:color="auto" w:val="clear"/>
            <w:tcMar>
              <w:top w:type="dxa" w:w="100"/>
              <w:left w:type="dxa" w:w="120"/>
              <w:bottom w:type="dxa" w:w="100"/>
              <w:right w:type="dxa" w:w="120"/>
            </w:tcMar>
          </w:tcPr>
          <w:p>
            <w:r>
              <w:rPr>
                <w:b/>
                <w:bCs/>
                <w:color w:val="FFFFFF"/>
                <w:sz w:val="19"/>
                <w:szCs w:val="19"/>
              </w:rPr>
              <w:t xml:space="preserve">Complejidad (adaptando plataforma existente)</w:t>
            </w:r>
          </w:p>
        </w:tc>
      </w:tr>
      <w:tr>
        <w:tc>
          <w:tcPr>
            <w:tcW w:type="dxa" w:w="700"/>
            <w:shd w:fill="FFFFFF" w:color="auto" w:val="clear"/>
            <w:tcMar>
              <w:top w:type="dxa" w:w="100"/>
              <w:left w:type="dxa" w:w="120"/>
              <w:bottom w:type="dxa" w:w="100"/>
              <w:right w:type="dxa" w:w="120"/>
            </w:tcMar>
          </w:tcPr>
          <w:p>
            <w:r>
              <w:rPr>
                <w:b w:val="false"/>
                <w:bCs w:val="false"/>
                <w:color w:val="1A1A1A"/>
                <w:sz w:val="19"/>
                <w:szCs w:val="19"/>
              </w:rPr>
              <w:t xml:space="preserve">1</w:t>
            </w:r>
          </w:p>
        </w:tc>
        <w:tc>
          <w:tcPr>
            <w:tcW w:type="dxa" w:w="4600"/>
            <w:shd w:fill="FFFFFF" w:color="auto" w:val="clear"/>
            <w:tcMar>
              <w:top w:type="dxa" w:w="100"/>
              <w:left w:type="dxa" w:w="120"/>
              <w:bottom w:type="dxa" w:w="100"/>
              <w:right w:type="dxa" w:w="120"/>
            </w:tcMar>
          </w:tcPr>
          <w:p>
            <w:r>
              <w:rPr>
                <w:b w:val="false"/>
                <w:bCs w:val="false"/>
                <w:color w:val="1A1A1A"/>
                <w:sz w:val="19"/>
                <w:szCs w:val="19"/>
              </w:rPr>
              <w:t xml:space="preserve">Login por mail/contraseña con reset y desloguéo por tiempo — cubierto con login con Google Workspace.</w:t>
            </w:r>
          </w:p>
        </w:tc>
        <w:tc>
          <w:tcPr>
            <w:tcW w:type="dxa" w:w="3600"/>
            <w:shd w:fill="FFFFFF" w:color="auto" w:val="clear"/>
            <w:tcMar>
              <w:top w:type="dxa" w:w="100"/>
              <w:left w:type="dxa" w:w="120"/>
              <w:bottom w:type="dxa" w:w="100"/>
              <w:right w:type="dxa" w:w="120"/>
            </w:tcMar>
          </w:tcPr>
          <w:p>
            <w:r>
              <w:rPr>
                <w:b w:val="false"/>
                <w:bCs w:val="false"/>
                <w:color w:val="1A1A1A"/>
                <w:sz w:val="19"/>
                <w:szCs w:val="19"/>
              </w:rPr>
              <w:t xml:space="preserve">Baja</w:t>
            </w:r>
          </w:p>
        </w:tc>
      </w:tr>
      <w:tr>
        <w:tc>
          <w:tcPr>
            <w:tcW w:type="dxa" w:w="700"/>
            <w:shd w:fill="F2F4F7" w:color="auto" w:val="clear"/>
            <w:tcMar>
              <w:top w:type="dxa" w:w="100"/>
              <w:left w:type="dxa" w:w="120"/>
              <w:bottom w:type="dxa" w:w="100"/>
              <w:right w:type="dxa" w:w="120"/>
            </w:tcMar>
          </w:tcPr>
          <w:p>
            <w:r>
              <w:rPr>
                <w:b w:val="false"/>
                <w:bCs w:val="false"/>
                <w:color w:val="1A1A1A"/>
                <w:sz w:val="19"/>
                <w:szCs w:val="19"/>
              </w:rPr>
              <w:t xml:space="preserve">2</w:t>
            </w:r>
          </w:p>
        </w:tc>
        <w:tc>
          <w:tcPr>
            <w:tcW w:type="dxa" w:w="4600"/>
            <w:shd w:fill="F2F4F7" w:color="auto" w:val="clear"/>
            <w:tcMar>
              <w:top w:type="dxa" w:w="100"/>
              <w:left w:type="dxa" w:w="120"/>
              <w:bottom w:type="dxa" w:w="100"/>
              <w:right w:type="dxa" w:w="120"/>
            </w:tcMar>
          </w:tcPr>
          <w:p>
            <w:r>
              <w:rPr>
                <w:b w:val="false"/>
                <w:bCs w:val="false"/>
                <w:color w:val="1A1A1A"/>
                <w:sz w:val="19"/>
                <w:szCs w:val="19"/>
              </w:rPr>
              <w:t xml:space="preserve">Acceso a mosaicos, menús y submenús según rol del organigrama.</w:t>
            </w:r>
          </w:p>
        </w:tc>
        <w:tc>
          <w:tcPr>
            <w:tcW w:type="dxa" w:w="3600"/>
            <w:shd w:fill="F2F4F7" w:color="auto" w:val="clear"/>
            <w:tcMar>
              <w:top w:type="dxa" w:w="100"/>
              <w:left w:type="dxa" w:w="120"/>
              <w:bottom w:type="dxa" w:w="100"/>
              <w:right w:type="dxa" w:w="120"/>
            </w:tcMar>
          </w:tcPr>
          <w:p>
            <w:r>
              <w:rPr>
                <w:b w:val="false"/>
                <w:bCs w:val="false"/>
                <w:color w:val="1A1A1A"/>
                <w:sz w:val="19"/>
                <w:szCs w:val="19"/>
              </w:rPr>
              <w:t xml:space="preserve">Media</w:t>
            </w:r>
          </w:p>
        </w:tc>
      </w:tr>
      <w:tr>
        <w:tc>
          <w:tcPr>
            <w:tcW w:type="dxa" w:w="700"/>
            <w:shd w:fill="FFFFFF" w:color="auto" w:val="clear"/>
            <w:tcMar>
              <w:top w:type="dxa" w:w="100"/>
              <w:left w:type="dxa" w:w="120"/>
              <w:bottom w:type="dxa" w:w="100"/>
              <w:right w:type="dxa" w:w="120"/>
            </w:tcMar>
          </w:tcPr>
          <w:p>
            <w:r>
              <w:rPr>
                <w:b w:val="false"/>
                <w:bCs w:val="false"/>
                <w:color w:val="1A1A1A"/>
                <w:sz w:val="19"/>
                <w:szCs w:val="19"/>
              </w:rPr>
              <w:t xml:space="preserve">3</w:t>
            </w:r>
          </w:p>
        </w:tc>
        <w:tc>
          <w:tcPr>
            <w:tcW w:type="dxa" w:w="4600"/>
            <w:shd w:fill="FFFFFF" w:color="auto" w:val="clear"/>
            <w:tcMar>
              <w:top w:type="dxa" w:w="100"/>
              <w:left w:type="dxa" w:w="120"/>
              <w:bottom w:type="dxa" w:w="100"/>
              <w:right w:type="dxa" w:w="120"/>
            </w:tcMar>
          </w:tcPr>
          <w:p>
            <w:r>
              <w:rPr>
                <w:b w:val="false"/>
                <w:bCs w:val="false"/>
                <w:color w:val="1A1A1A"/>
                <w:sz w:val="19"/>
                <w:szCs w:val="19"/>
              </w:rPr>
              <w:t xml:space="preserve">Niveles de usuario para editar contenidos de sus áreas.</w:t>
            </w:r>
          </w:p>
        </w:tc>
        <w:tc>
          <w:tcPr>
            <w:tcW w:type="dxa" w:w="3600"/>
            <w:shd w:fill="FFFFFF" w:color="auto" w:val="clear"/>
            <w:tcMar>
              <w:top w:type="dxa" w:w="100"/>
              <w:left w:type="dxa" w:w="120"/>
              <w:bottom w:type="dxa" w:w="100"/>
              <w:right w:type="dxa" w:w="120"/>
            </w:tcMar>
          </w:tcPr>
          <w:p>
            <w:r>
              <w:rPr>
                <w:b w:val="false"/>
                <w:bCs w:val="false"/>
                <w:color w:val="1A1A1A"/>
                <w:sz w:val="19"/>
                <w:szCs w:val="19"/>
              </w:rPr>
              <w:t xml:space="preserve">Media</w:t>
            </w:r>
          </w:p>
        </w:tc>
      </w:tr>
      <w:tr>
        <w:tc>
          <w:tcPr>
            <w:tcW w:type="dxa" w:w="700"/>
            <w:shd w:fill="F2F4F7" w:color="auto" w:val="clear"/>
            <w:tcMar>
              <w:top w:type="dxa" w:w="100"/>
              <w:left w:type="dxa" w:w="120"/>
              <w:bottom w:type="dxa" w:w="100"/>
              <w:right w:type="dxa" w:w="120"/>
            </w:tcMar>
          </w:tcPr>
          <w:p>
            <w:r>
              <w:rPr>
                <w:b w:val="false"/>
                <w:bCs w:val="false"/>
                <w:color w:val="1A1A1A"/>
                <w:sz w:val="19"/>
                <w:szCs w:val="19"/>
              </w:rPr>
              <w:t xml:space="preserve">4</w:t>
            </w:r>
          </w:p>
        </w:tc>
        <w:tc>
          <w:tcPr>
            <w:tcW w:type="dxa" w:w="4600"/>
            <w:shd w:fill="F2F4F7" w:color="auto" w:val="clear"/>
            <w:tcMar>
              <w:top w:type="dxa" w:w="100"/>
              <w:left w:type="dxa" w:w="120"/>
              <w:bottom w:type="dxa" w:w="100"/>
              <w:right w:type="dxa" w:w="120"/>
            </w:tcMar>
          </w:tcPr>
          <w:p>
            <w:r>
              <w:rPr>
                <w:b w:val="false"/>
                <w:bCs w:val="false"/>
                <w:color w:val="1A1A1A"/>
                <w:sz w:val="19"/>
                <w:szCs w:val="19"/>
              </w:rPr>
              <w:t xml:space="preserve">Administrador de contenidos por permisos.</w:t>
            </w:r>
          </w:p>
        </w:tc>
        <w:tc>
          <w:tcPr>
            <w:tcW w:type="dxa" w:w="3600"/>
            <w:shd w:fill="F2F4F7" w:color="auto" w:val="clear"/>
            <w:tcMar>
              <w:top w:type="dxa" w:w="100"/>
              <w:left w:type="dxa" w:w="120"/>
              <w:bottom w:type="dxa" w:w="100"/>
              <w:right w:type="dxa" w:w="120"/>
            </w:tcMar>
          </w:tcPr>
          <w:p>
            <w:r>
              <w:rPr>
                <w:b w:val="false"/>
                <w:bCs w:val="false"/>
                <w:color w:val="1A1A1A"/>
                <w:sz w:val="19"/>
                <w:szCs w:val="19"/>
              </w:rPr>
              <w:t xml:space="preserve">Media–Alta</w:t>
            </w:r>
          </w:p>
        </w:tc>
      </w:tr>
      <w:tr>
        <w:tc>
          <w:tcPr>
            <w:tcW w:type="dxa" w:w="700"/>
            <w:shd w:fill="FFFFFF" w:color="auto" w:val="clear"/>
            <w:tcMar>
              <w:top w:type="dxa" w:w="100"/>
              <w:left w:type="dxa" w:w="120"/>
              <w:bottom w:type="dxa" w:w="100"/>
              <w:right w:type="dxa" w:w="120"/>
            </w:tcMar>
          </w:tcPr>
          <w:p>
            <w:r>
              <w:rPr>
                <w:b w:val="false"/>
                <w:bCs w:val="false"/>
                <w:color w:val="1A1A1A"/>
                <w:sz w:val="19"/>
                <w:szCs w:val="19"/>
              </w:rPr>
              <w:t xml:space="preserve">5</w:t>
            </w:r>
          </w:p>
        </w:tc>
        <w:tc>
          <w:tcPr>
            <w:tcW w:type="dxa" w:w="4600"/>
            <w:shd w:fill="FFFFFF" w:color="auto" w:val="clear"/>
            <w:tcMar>
              <w:top w:type="dxa" w:w="100"/>
              <w:left w:type="dxa" w:w="120"/>
              <w:bottom w:type="dxa" w:w="100"/>
              <w:right w:type="dxa" w:w="120"/>
            </w:tcMar>
          </w:tcPr>
          <w:p>
            <w:r>
              <w:rPr>
                <w:b w:val="false"/>
                <w:bCs w:val="false"/>
                <w:color w:val="1A1A1A"/>
                <w:sz w:val="19"/>
                <w:szCs w:val="19"/>
              </w:rPr>
              <w:t xml:space="preserve">Superadministrador: alta de usuarios y asignación de roles.</w:t>
            </w:r>
          </w:p>
        </w:tc>
        <w:tc>
          <w:tcPr>
            <w:tcW w:type="dxa" w:w="3600"/>
            <w:shd w:fill="FFFFFF" w:color="auto" w:val="clear"/>
            <w:tcMar>
              <w:top w:type="dxa" w:w="100"/>
              <w:left w:type="dxa" w:w="120"/>
              <w:bottom w:type="dxa" w:w="100"/>
              <w:right w:type="dxa" w:w="120"/>
            </w:tcMar>
          </w:tcPr>
          <w:p>
            <w:r>
              <w:rPr>
                <w:b w:val="false"/>
                <w:bCs w:val="false"/>
                <w:color w:val="1A1A1A"/>
                <w:sz w:val="19"/>
                <w:szCs w:val="19"/>
              </w:rPr>
              <w:t xml:space="preserve">Baja</w:t>
            </w:r>
          </w:p>
        </w:tc>
      </w:tr>
      <w:tr>
        <w:tc>
          <w:tcPr>
            <w:tcW w:type="dxa" w:w="700"/>
            <w:shd w:fill="FFFFFF" w:color="auto" w:val="clear"/>
            <w:tcMar>
              <w:top w:type="dxa" w:w="100"/>
              <w:left w:type="dxa" w:w="120"/>
              <w:bottom w:type="dxa" w:w="100"/>
              <w:right w:type="dxa" w:w="120"/>
            </w:tcMar>
          </w:tcPr>
          <w:p>
            <w:r>
              <w:rPr>
                <w:b w:val="false"/>
                <w:bCs w:val="false"/>
                <w:color w:val="1A1A1A"/>
                <w:sz w:val="19"/>
                <w:szCs w:val="19"/>
              </w:rPr>
              <w:t xml:space="preserve">6</w:t>
            </w:r>
          </w:p>
        </w:tc>
        <w:tc>
          <w:tcPr>
            <w:tcW w:type="dxa" w:w="4600"/>
            <w:shd w:fill="FFFFFF" w:color="auto" w:val="clear"/>
            <w:tcMar>
              <w:top w:type="dxa" w:w="100"/>
              <w:left w:type="dxa" w:w="120"/>
              <w:bottom w:type="dxa" w:w="100"/>
              <w:right w:type="dxa" w:w="120"/>
            </w:tcMar>
          </w:tcPr>
          <w:p>
            <w:r>
              <w:rPr>
                <w:b w:val="false"/>
                <w:bCs w:val="false"/>
                <w:color w:val="1A1A1A"/>
                <w:sz w:val="19"/>
                <w:szCs w:val="19"/>
              </w:rPr>
              <w:t xml:space="preserve">Sección general (pizarra institucional): publicaciones tipo blog, con autor y categoría, no ligadas a un único mosaico.</w:t>
            </w:r>
          </w:p>
        </w:tc>
        <w:tc>
          <w:tcPr>
            <w:tcW w:type="dxa" w:w="3600"/>
            <w:shd w:fill="FFFFFF" w:color="auto" w:val="clear"/>
            <w:tcMar>
              <w:top w:type="dxa" w:w="100"/>
              <w:left w:type="dxa" w:w="120"/>
              <w:bottom w:type="dxa" w:w="100"/>
              <w:right w:type="dxa" w:w="120"/>
            </w:tcMar>
          </w:tcPr>
          <w:p>
            <w:r>
              <w:rPr>
                <w:b w:val="false"/>
                <w:bCs w:val="false"/>
                <w:color w:val="1A1A1A"/>
                <w:sz w:val="19"/>
                <w:szCs w:val="19"/>
              </w:rPr>
              <w:t xml:space="preserve">Baja–Media</w:t>
            </w:r>
          </w:p>
        </w:tc>
      </w:tr>
      <w:tr>
        <w:tc>
          <w:tcPr>
            <w:tcW w:type="dxa" w:w="700"/>
            <w:shd w:fill="FFFFFF" w:color="auto" w:val="clear"/>
            <w:tcMar>
              <w:top w:type="dxa" w:w="100"/>
              <w:left w:type="dxa" w:w="120"/>
              <w:bottom w:type="dxa" w:w="100"/>
              <w:right w:type="dxa" w:w="120"/>
            </w:tcMar>
          </w:tcPr>
          <w:p>
            <w:r>
              <w:rPr>
                <w:b w:val="false"/>
                <w:bCs w:val="false"/>
                <w:color w:val="1A1A1A"/>
                <w:sz w:val="19"/>
                <w:szCs w:val="19"/>
              </w:rPr>
              <w:t xml:space="preserve">7</w:t>
            </w:r>
          </w:p>
        </w:tc>
        <w:tc>
          <w:tcPr>
            <w:tcW w:type="dxa" w:w="4600"/>
            <w:shd w:fill="FFFFFF" w:color="auto" w:val="clear"/>
            <w:tcMar>
              <w:top w:type="dxa" w:w="100"/>
              <w:left w:type="dxa" w:w="120"/>
              <w:bottom w:type="dxa" w:w="100"/>
              <w:right w:type="dxa" w:w="120"/>
            </w:tcMar>
          </w:tcPr>
          <w:p>
            <w:r>
              <w:rPr>
                <w:b w:val="false"/>
                <w:bCs w:val="false"/>
                <w:color w:val="1A1A1A"/>
                <w:sz w:val="19"/>
                <w:szCs w:val="19"/>
              </w:rPr>
              <w:t xml:space="preserve">Notificación por email al publicarse contenido en la pizarra, para generar acceso al sitio.</w:t>
            </w:r>
          </w:p>
        </w:tc>
        <w:tc>
          <w:tcPr>
            <w:tcW w:type="dxa" w:w="3600"/>
            <w:shd w:fill="FFFFFF" w:color="auto" w:val="clear"/>
            <w:tcMar>
              <w:top w:type="dxa" w:w="100"/>
              <w:left w:type="dxa" w:w="120"/>
              <w:bottom w:type="dxa" w:w="100"/>
              <w:right w:type="dxa" w:w="120"/>
            </w:tcMar>
          </w:tcPr>
          <w:p>
            <w:r>
              <w:rPr>
                <w:b w:val="false"/>
                <w:bCs w:val="false"/>
                <w:color w:val="1A1A1A"/>
                <w:sz w:val="19"/>
                <w:szCs w:val="19"/>
              </w:rPr>
              <w:t xml:space="preserve">Baja–Media</w:t>
            </w:r>
          </w:p>
        </w:tc>
      </w:tr>
      <w:tr>
        <w:tc>
          <w:tcPr>
            <w:tcW w:type="dxa" w:w="700"/>
            <w:shd w:fill="FFFFFF" w:color="auto" w:val="clear"/>
            <w:tcMar>
              <w:top w:type="dxa" w:w="100"/>
              <w:left w:type="dxa" w:w="120"/>
              <w:bottom w:type="dxa" w:w="100"/>
              <w:right w:type="dxa" w:w="120"/>
            </w:tcMar>
          </w:tcPr>
          <w:p>
            <w:r>
              <w:rPr>
                <w:b w:val="false"/>
                <w:bCs w:val="false"/>
                <w:color w:val="1A1A1A"/>
                <w:sz w:val="19"/>
                <w:szCs w:val="19"/>
              </w:rPr>
              <w:t xml:space="preserve">8</w:t>
            </w:r>
          </w:p>
        </w:tc>
        <w:tc>
          <w:tcPr>
            <w:tcW w:type="dxa" w:w="4600"/>
            <w:shd w:fill="FFFFFF" w:color="auto" w:val="clear"/>
            <w:tcMar>
              <w:top w:type="dxa" w:w="100"/>
              <w:left w:type="dxa" w:w="120"/>
              <w:bottom w:type="dxa" w:w="100"/>
              <w:right w:type="dxa" w:w="120"/>
            </w:tcMar>
          </w:tcPr>
          <w:p>
            <w:r>
              <w:rPr>
                <w:b w:val="false"/>
                <w:bCs w:val="false"/>
                <w:color w:val="1A1A1A"/>
                <w:sz w:val="19"/>
                <w:szCs w:val="19"/>
              </w:rPr>
              <w:t xml:space="preserve">Notificaciones pendientes: indicador de publicaciones no leídas por el usuario al iniciar sesión.</w:t>
            </w:r>
          </w:p>
        </w:tc>
        <w:tc>
          <w:tcPr>
            <w:tcW w:type="dxa" w:w="3600"/>
            <w:shd w:fill="FFFFFF" w:color="auto" w:val="clear"/>
            <w:tcMar>
              <w:top w:type="dxa" w:w="100"/>
              <w:left w:type="dxa" w:w="120"/>
              <w:bottom w:type="dxa" w:w="100"/>
              <w:right w:type="dxa" w:w="120"/>
            </w:tcMar>
          </w:tcPr>
          <w:p>
            <w:r>
              <w:rPr>
                <w:b w:val="false"/>
                <w:bCs w:val="false"/>
                <w:color w:val="1A1A1A"/>
                <w:sz w:val="19"/>
                <w:szCs w:val="19"/>
              </w:rPr>
              <w:t xml:space="preserve">Media</w:t>
            </w:r>
          </w:p>
        </w:tc>
      </w:tr>
    </w:tbl>
    <w:p>
      <w:pPr>
        <w:spacing w:before="200"/>
      </w:pPr>
    </w:p>
    <w:p>
      <w:pPr>
        <w:pStyle w:val="Heading1"/>
        <w:pBdr>
          <w:bottom w:val="single" w:color="C0392B" w:sz="6" w:space="4"/>
        </w:pBdr>
        <w:spacing w:after="160" w:before="400"/>
      </w:pPr>
      <w:r>
        <w:rPr>
          <w:b/>
          <w:bCs/>
          <w:color w:val="1B2A4A"/>
          <w:sz w:val="26"/>
          <w:szCs w:val="26"/>
        </w:rPr>
        <w:t xml:space="preserve">5. Arquitectura propuesta</w:t>
      </w:r>
    </w:p>
    <w:p>
      <w:pPr>
        <w:spacing w:after="100" w:line="280"/>
      </w:pPr>
      <w:r>
        <w:rPr>
          <w:b/>
          <w:bCs/>
          <w:color w:val="1B2A4A"/>
          <w:sz w:val="21"/>
          <w:szCs w:val="21"/>
        </w:rPr>
        <w:t xml:space="preserve">Autenticación: </w:t>
      </w:r>
      <w:r>
        <w:rPr>
          <w:sz w:val="21"/>
          <w:szCs w:val="21"/>
        </w:rPr>
        <w:t xml:space="preserve">Supabase Auth con inicio de sesión mediante cuentas de Google Workspace del personal. Al usar el proveedor de identidad de la empresa, no hace falta construir un flujo propio de “olvidé mi contraseña”: lo resuelve Google. La duración de sesión (desloguéo por inactividad) se configura como tiempo de expiración del token.</w:t>
      </w:r>
    </w:p>
    <w:p>
      <w:pPr>
        <w:spacing w:after="100" w:line="280"/>
      </w:pPr>
      <w:r>
        <w:rPr>
          <w:b/>
          <w:bCs/>
          <w:color w:val="1B2A4A"/>
          <w:sz w:val="21"/>
          <w:szCs w:val="21"/>
        </w:rPr>
        <w:t xml:space="preserve">Roles y permisos: </w:t>
      </w:r>
      <w:r>
        <w:rPr>
          <w:sz w:val="21"/>
          <w:szCs w:val="21"/>
        </w:rPr>
        <w:t xml:space="preserve">una tabla de roles en Postgres calcada al organigrama institucional, con reglas de acceso a nivel de fila (Row Level Security) que determinan qué mosaicos, menús, submenús y campos editables corresponden a cada rol. La verificación ocurre en el servidor, no en el navegador.</w:t>
      </w:r>
    </w:p>
    <w:p>
      <w:pPr>
        <w:spacing w:after="100" w:line="280"/>
      </w:pPr>
      <w:r>
        <w:rPr>
          <w:b/>
          <w:bCs/>
          <w:color w:val="1B2A4A"/>
          <w:sz w:val="21"/>
          <w:szCs w:val="21"/>
        </w:rPr>
        <w:t xml:space="preserve">Administración de contenidos: </w:t>
      </w:r>
      <w:r>
        <w:rPr>
          <w:sz w:val="21"/>
          <w:szCs w:val="21"/>
        </w:rPr>
        <w:t xml:space="preserve">panel a medida —no el panel genérico de un CMS— que reutiliza el CSS y los componentes actuales del sitio, mostrando solo los campos editables habilitados para el rol de quien inició sesión. Los contenidos pasan de estar escritos en HTML estático a persistir en la base de datos.</w:t>
      </w:r>
    </w:p>
    <w:p>
      <w:pPr>
        <w:spacing w:after="100" w:line="280"/>
      </w:pPr>
      <w:r>
        <w:rPr>
          <w:b/>
          <w:bCs/>
          <w:color w:val="1B2A4A"/>
          <w:sz w:val="21"/>
          <w:szCs w:val="21"/>
        </w:rPr>
        <w:t xml:space="preserve">Superadministración: </w:t>
      </w:r>
      <w:r>
        <w:rPr>
          <w:sz w:val="21"/>
          <w:szCs w:val="21"/>
        </w:rPr>
        <w:t xml:space="preserve">pantalla de gestión de usuarios (alta, asignación de rol y de área) construida sobre las tablas de usuarios y roles de Supabase.</w:t>
      </w:r>
    </w:p>
    <w:p>
      <w:pPr>
        <w:spacing w:after="100" w:line="280"/>
      </w:pPr>
      <w:r>
        <w:rPr>
          <w:b/>
          <w:bCs/>
          <w:color w:val="1B2A4A"/>
          <w:sz w:val="21"/>
          <w:szCs w:val="21"/>
        </w:rPr>
        <w:t xml:space="preserve">Acceso interno vs. externo: </w:t>
      </w:r>
      <w:r>
        <w:rPr>
          <w:sz w:val="21"/>
          <w:szCs w:val="21"/>
        </w:rPr>
        <w:t xml:space="preserve">el sitio queda disponible por dos vías: la URL interna (red de la oficina) y un dominio público externo. Por la red interna, el contenido general/institucional se ve sin necesidad de iniciar sesión; el contenido específico de cada rol y la edición de contenidos siguen pidiendo login igual que desde afuera. Por el dominio externo, se exige sesión iniciada para cualquier contenido, sin excepción — no existe vista pública desde afuera. La verificación se resuelve en la aplicación (no en el proxy), evaluando el origen de cada solicitud.</w:t>
      </w:r>
    </w:p>
    <w:p>
      <w:pPr>
        <w:spacing w:after="100" w:line="280"/>
      </w:pPr>
      <w:r>
        <w:rPr>
          <w:b/>
          <w:bCs/>
          <w:color w:val="1B2A4A"/>
          <w:sz w:val="21"/>
          <w:szCs w:val="21"/>
        </w:rPr>
        <w:t xml:space="preserve">Hosting: </w:t>
      </w:r>
      <w:r>
        <w:rPr>
          <w:sz w:val="21"/>
          <w:szCs w:val="21"/>
        </w:rPr>
        <w:t xml:space="preserve">requiere un servidor propio (o el plan gestionado de Supabase) corriendo de forma continua; deja de alcanzar el hosting estático actual.</w:t>
      </w:r>
    </w:p>
    <w:p>
      <w:pPr>
        <w:pStyle w:val="Heading1"/>
        <w:pBdr>
          <w:bottom w:val="single" w:color="C0392B" w:sz="6" w:space="4"/>
        </w:pBdr>
        <w:spacing w:after="160" w:before="400"/>
      </w:pPr>
      <w:r>
        <w:rPr>
          <w:b/>
          <w:bCs/>
          <w:color w:val="1B2A4A"/>
          <w:sz w:val="26"/>
          <w:szCs w:val="26"/>
        </w:rPr>
        <w:t xml:space="preserve">6. Plan de fases y esfuerzo estimado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5100"/>
        <w:gridCol w:w="2100"/>
      </w:tblGrid>
      <w:tr>
        <w:trPr>
          <w:tblHeader/>
        </w:trPr>
        <w:tc>
          <w:tcPr>
            <w:tcW w:type="dxa" w:w="1700"/>
            <w:shd w:fill="1B2A4A" w:color="auto" w:val="clear"/>
            <w:tcMar>
              <w:top w:type="dxa" w:w="100"/>
              <w:left w:type="dxa" w:w="120"/>
              <w:bottom w:type="dxa" w:w="100"/>
              <w:right w:type="dxa" w:w="120"/>
            </w:tcMar>
          </w:tcPr>
          <w:p>
            <w:r>
              <w:rPr>
                <w:b/>
                <w:bCs/>
                <w:color w:val="FFFFFF"/>
                <w:sz w:val="19"/>
                <w:szCs w:val="19"/>
              </w:rPr>
              <w:t xml:space="preserve">Fase</w:t>
            </w:r>
          </w:p>
        </w:tc>
        <w:tc>
          <w:tcPr>
            <w:tcW w:type="dxa" w:w="5100"/>
            <w:shd w:fill="1B2A4A" w:color="auto" w:val="clear"/>
            <w:tcMar>
              <w:top w:type="dxa" w:w="100"/>
              <w:left w:type="dxa" w:w="120"/>
              <w:bottom w:type="dxa" w:w="100"/>
              <w:right w:type="dxa" w:w="120"/>
            </w:tcMar>
          </w:tcPr>
          <w:p>
            <w:r>
              <w:rPr>
                <w:b/>
                <w:bCs/>
                <w:color w:val="FFFFFF"/>
                <w:sz w:val="19"/>
                <w:szCs w:val="19"/>
              </w:rPr>
              <w:t xml:space="preserve">Entregable</w:t>
            </w:r>
          </w:p>
        </w:tc>
        <w:tc>
          <w:tcPr>
            <w:tcW w:type="dxa" w:w="2100"/>
            <w:shd w:fill="1B2A4A" w:color="auto" w:val="clear"/>
            <w:tcMar>
              <w:top w:type="dxa" w:w="100"/>
              <w:left w:type="dxa" w:w="120"/>
              <w:bottom w:type="dxa" w:w="100"/>
              <w:right w:type="dxa" w:w="120"/>
            </w:tcMar>
          </w:tcPr>
          <w:p>
            <w:r>
              <w:rPr>
                <w:b/>
                <w:bCs/>
                <w:color w:val="FFFFFF"/>
                <w:sz w:val="19"/>
                <w:szCs w:val="19"/>
              </w:rPr>
              <w:t xml:space="preserve">Esfuerzo est.</w:t>
            </w:r>
          </w:p>
        </w:tc>
      </w:tr>
      <w:tr>
        <w:tc>
          <w:tcPr>
            <w:tcW w:type="dxa" w:w="1700"/>
            <w:shd w:fill="FFFFFF" w:color="auto" w:val="clear"/>
            <w:tcMar>
              <w:top w:type="dxa" w:w="100"/>
              <w:left w:type="dxa" w:w="120"/>
              <w:bottom w:type="dxa" w:w="100"/>
              <w:right w:type="dxa" w:w="120"/>
            </w:tcMar>
          </w:tcPr>
          <w:p>
            <w:r>
              <w:rPr>
                <w:b w:val="false"/>
                <w:bCs w:val="false"/>
                <w:color w:val="1A1A1A"/>
                <w:sz w:val="19"/>
                <w:szCs w:val="19"/>
              </w:rPr>
              <w:t xml:space="preserve">Fase 0</w:t>
            </w:r>
          </w:p>
        </w:tc>
        <w:tc>
          <w:tcPr>
            <w:tcW w:type="dxa" w:w="5100"/>
            <w:shd w:fill="FFFFFF" w:color="auto" w:val="clear"/>
            <w:tcMar>
              <w:top w:type="dxa" w:w="100"/>
              <w:left w:type="dxa" w:w="120"/>
              <w:bottom w:type="dxa" w:w="100"/>
              <w:right w:type="dxa" w:w="120"/>
            </w:tcMar>
          </w:tcPr>
          <w:p>
            <w:r>
              <w:rPr>
                <w:b w:val="false"/>
                <w:bCs w:val="false"/>
                <w:color w:val="1A1A1A"/>
                <w:sz w:val="19"/>
                <w:szCs w:val="19"/>
              </w:rPr>
              <w:t xml:space="preserve">Preparación de infraestructura: provisión del servidor, proyecto Supabase, alta de la app OAuth en la consola de Google Workspace.</w:t>
            </w:r>
          </w:p>
        </w:tc>
        <w:tc>
          <w:tcPr>
            <w:tcW w:type="dxa" w:w="2100"/>
            <w:shd w:fill="FFFFFF" w:color="auto" w:val="clear"/>
            <w:tcMar>
              <w:top w:type="dxa" w:w="100"/>
              <w:left w:type="dxa" w:w="120"/>
              <w:bottom w:type="dxa" w:w="100"/>
              <w:right w:type="dxa" w:w="120"/>
            </w:tcMar>
          </w:tcPr>
          <w:p>
            <w:r>
              <w:rPr>
                <w:b w:val="false"/>
                <w:bCs w:val="false"/>
                <w:color w:val="1A1A1A"/>
                <w:sz w:val="19"/>
                <w:szCs w:val="19"/>
              </w:rPr>
              <w:t xml:space="preserve">2–3 días</w:t>
            </w:r>
          </w:p>
        </w:tc>
      </w:tr>
      <w:tr>
        <w:tc>
          <w:tcPr>
            <w:tcW w:type="dxa" w:w="1700"/>
            <w:shd w:fill="F2F4F7" w:color="auto" w:val="clear"/>
            <w:tcMar>
              <w:top w:type="dxa" w:w="100"/>
              <w:left w:type="dxa" w:w="120"/>
              <w:bottom w:type="dxa" w:w="100"/>
              <w:right w:type="dxa" w:w="120"/>
            </w:tcMar>
          </w:tcPr>
          <w:p>
            <w:r>
              <w:rPr>
                <w:b w:val="false"/>
                <w:bCs w:val="false"/>
                <w:color w:val="1A1A1A"/>
                <w:sz w:val="19"/>
                <w:szCs w:val="19"/>
              </w:rPr>
              <w:t xml:space="preserve">Fase 1</w:t>
            </w:r>
          </w:p>
        </w:tc>
        <w:tc>
          <w:tcPr>
            <w:tcW w:type="dxa" w:w="5100"/>
            <w:shd w:fill="F2F4F7" w:color="auto" w:val="clear"/>
            <w:tcMar>
              <w:top w:type="dxa" w:w="100"/>
              <w:left w:type="dxa" w:w="120"/>
              <w:bottom w:type="dxa" w:w="100"/>
              <w:right w:type="dxa" w:w="120"/>
            </w:tcMar>
          </w:tcPr>
          <w:p>
            <w:r>
              <w:rPr>
                <w:b w:val="false"/>
                <w:bCs w:val="false"/>
                <w:color w:val="1A1A1A"/>
                <w:sz w:val="19"/>
                <w:szCs w:val="19"/>
              </w:rPr>
              <w:t xml:space="preserve">Autenticación: login con cuenta de Google Workspace, expiración/cierre de sesión automático por tiempo de inactividad.</w:t>
            </w:r>
          </w:p>
        </w:tc>
        <w:tc>
          <w:tcPr>
            <w:tcW w:type="dxa" w:w="2100"/>
            <w:shd w:fill="F2F4F7" w:color="auto" w:val="clear"/>
            <w:tcMar>
              <w:top w:type="dxa" w:w="100"/>
              <w:left w:type="dxa" w:w="120"/>
              <w:bottom w:type="dxa" w:w="100"/>
              <w:right w:type="dxa" w:w="120"/>
            </w:tcMar>
          </w:tcPr>
          <w:p>
            <w:r>
              <w:rPr>
                <w:b w:val="false"/>
                <w:bCs w:val="false"/>
                <w:color w:val="1A1A1A"/>
                <w:sz w:val="19"/>
                <w:szCs w:val="19"/>
              </w:rPr>
              <w:t xml:space="preserve">1 semana</w:t>
            </w:r>
          </w:p>
        </w:tc>
      </w:tr>
      <w:tr>
        <w:tc>
          <w:tcPr>
            <w:tcW w:type="dxa" w:w="1700"/>
            <w:shd w:fill="FFFFFF" w:color="auto" w:val="clear"/>
            <w:tcMar>
              <w:top w:type="dxa" w:w="100"/>
              <w:left w:type="dxa" w:w="120"/>
              <w:bottom w:type="dxa" w:w="100"/>
              <w:right w:type="dxa" w:w="120"/>
            </w:tcMar>
          </w:tcPr>
          <w:p>
            <w:r>
              <w:rPr>
                <w:b w:val="false"/>
                <w:bCs w:val="false"/>
                <w:color w:val="1A1A1A"/>
                <w:sz w:val="19"/>
                <w:szCs w:val="19"/>
              </w:rPr>
              <w:t xml:space="preserve">Fase 2</w:t>
            </w:r>
          </w:p>
        </w:tc>
        <w:tc>
          <w:tcPr>
            <w:tcW w:type="dxa" w:w="5100"/>
            <w:shd w:fill="FFFFFF" w:color="auto" w:val="clear"/>
            <w:tcMar>
              <w:top w:type="dxa" w:w="100"/>
              <w:left w:type="dxa" w:w="120"/>
              <w:bottom w:type="dxa" w:w="100"/>
              <w:right w:type="dxa" w:w="120"/>
            </w:tcMar>
          </w:tcPr>
          <w:p>
            <w:r>
              <w:rPr>
                <w:b w:val="false"/>
                <w:bCs w:val="false"/>
                <w:color w:val="1A1A1A"/>
                <w:sz w:val="19"/>
                <w:szCs w:val="19"/>
              </w:rPr>
              <w:t xml:space="preserve">Modelo de roles: tabla de roles calcada al organigrama, reglas de acceso a nivel de base de datos (Row Level Security) por rol y área.</w:t>
            </w:r>
          </w:p>
        </w:tc>
        <w:tc>
          <w:tcPr>
            <w:tcW w:type="dxa" w:w="2100"/>
            <w:shd w:fill="FFFFFF" w:color="auto" w:val="clear"/>
            <w:tcMar>
              <w:top w:type="dxa" w:w="100"/>
              <w:left w:type="dxa" w:w="120"/>
              <w:bottom w:type="dxa" w:w="100"/>
              <w:right w:type="dxa" w:w="120"/>
            </w:tcMar>
          </w:tcPr>
          <w:p>
            <w:r>
              <w:rPr>
                <w:b w:val="false"/>
                <w:bCs w:val="false"/>
                <w:color w:val="1A1A1A"/>
                <w:sz w:val="19"/>
                <w:szCs w:val="19"/>
              </w:rPr>
              <w:t xml:space="preserve">1–1.5 semanas</w:t>
            </w:r>
          </w:p>
        </w:tc>
      </w:tr>
      <w:tr>
        <w:tc>
          <w:tcPr>
            <w:tcW w:type="dxa" w:w="1700"/>
            <w:shd w:fill="F2F4F7" w:color="auto" w:val="clear"/>
            <w:tcMar>
              <w:top w:type="dxa" w:w="100"/>
              <w:left w:type="dxa" w:w="120"/>
              <w:bottom w:type="dxa" w:w="100"/>
              <w:right w:type="dxa" w:w="120"/>
            </w:tcMar>
          </w:tcPr>
          <w:p>
            <w:r>
              <w:rPr>
                <w:b w:val="false"/>
                <w:bCs w:val="false"/>
                <w:color w:val="1A1A1A"/>
                <w:sz w:val="19"/>
                <w:szCs w:val="19"/>
              </w:rPr>
              <w:t xml:space="preserve">Fase 3</w:t>
            </w:r>
          </w:p>
        </w:tc>
        <w:tc>
          <w:tcPr>
            <w:tcW w:type="dxa" w:w="5100"/>
            <w:shd w:fill="F2F4F7" w:color="auto" w:val="clear"/>
            <w:tcMar>
              <w:top w:type="dxa" w:w="100"/>
              <w:left w:type="dxa" w:w="120"/>
              <w:bottom w:type="dxa" w:w="100"/>
              <w:right w:type="dxa" w:w="120"/>
            </w:tcMar>
          </w:tcPr>
          <w:p>
            <w:r>
              <w:rPr>
                <w:b w:val="false"/>
                <w:bCs w:val="false"/>
                <w:color w:val="1A1A1A"/>
                <w:sz w:val="19"/>
                <w:szCs w:val="19"/>
              </w:rPr>
              <w:t xml:space="preserve">Control de acceso en el sitio: mosaicos, menús y submenús condicionados por rol, integrados a las páginas existentes. Incluye la regla diferenciada por origen de acceso (red interna: contenido general libre / dominio externo: login obligatorio para todo).</w:t>
            </w:r>
          </w:p>
        </w:tc>
        <w:tc>
          <w:tcPr>
            <w:tcW w:type="dxa" w:w="2100"/>
            <w:shd w:fill="F2F4F7" w:color="auto" w:val="clear"/>
            <w:tcMar>
              <w:top w:type="dxa" w:w="100"/>
              <w:left w:type="dxa" w:w="120"/>
              <w:bottom w:type="dxa" w:w="100"/>
              <w:right w:type="dxa" w:w="120"/>
            </w:tcMar>
          </w:tcPr>
          <w:p>
            <w:r>
              <w:rPr>
                <w:b w:val="false"/>
                <w:bCs w:val="false"/>
                <w:color w:val="1A1A1A"/>
                <w:sz w:val="19"/>
                <w:szCs w:val="19"/>
              </w:rPr>
              <w:t xml:space="preserve">1–1.5 semanas</w:t>
            </w:r>
          </w:p>
        </w:tc>
      </w:tr>
      <w:tr>
        <w:tc>
          <w:tcPr>
            <w:tcW w:type="dxa" w:w="1700"/>
            <w:shd w:fill="FFFFFF" w:color="auto" w:val="clear"/>
            <w:tcMar>
              <w:top w:type="dxa" w:w="100"/>
              <w:left w:type="dxa" w:w="120"/>
              <w:bottom w:type="dxa" w:w="100"/>
              <w:right w:type="dxa" w:w="120"/>
            </w:tcMar>
          </w:tcPr>
          <w:p>
            <w:r>
              <w:rPr>
                <w:b w:val="false"/>
                <w:bCs w:val="false"/>
                <w:color w:val="1A1A1A"/>
                <w:sz w:val="19"/>
                <w:szCs w:val="19"/>
              </w:rPr>
              <w:t xml:space="preserve">Fase 4</w:t>
            </w:r>
          </w:p>
        </w:tc>
        <w:tc>
          <w:tcPr>
            <w:tcW w:type="dxa" w:w="5100"/>
            <w:shd w:fill="FFFFFF" w:color="auto" w:val="clear"/>
            <w:tcMar>
              <w:top w:type="dxa" w:w="100"/>
              <w:left w:type="dxa" w:w="120"/>
              <w:bottom w:type="dxa" w:w="100"/>
              <w:right w:type="dxa" w:w="120"/>
            </w:tcMar>
          </w:tcPr>
          <w:p>
            <w:r>
              <w:rPr>
                <w:b w:val="false"/>
                <w:bCs w:val="false"/>
                <w:color w:val="1A1A1A"/>
                <w:sz w:val="19"/>
                <w:szCs w:val="19"/>
              </w:rPr>
              <w:t xml:space="preserve">Panel de administración de contenidos: edición de textos/fichas por área para usuarios con permiso, manteniendo el diseño actual del sitio. Incluye el editor de la pizarra institucional (publicaciones con autor y categoría) y el disparo de notificación por email al publicar.</w:t>
            </w:r>
          </w:p>
        </w:tc>
        <w:tc>
          <w:tcPr>
            <w:tcW w:type="dxa" w:w="2100"/>
            <w:shd w:fill="FFFFFF" w:color="auto" w:val="clear"/>
            <w:tcMar>
              <w:top w:type="dxa" w:w="100"/>
              <w:left w:type="dxa" w:w="120"/>
              <w:bottom w:type="dxa" w:w="100"/>
              <w:right w:type="dxa" w:w="120"/>
            </w:tcMar>
          </w:tcPr>
          <w:p>
            <w:r>
              <w:rPr>
                <w:b w:val="false"/>
                <w:bCs w:val="false"/>
                <w:color w:val="1A1A1A"/>
                <w:sz w:val="19"/>
                <w:szCs w:val="19"/>
              </w:rPr>
              <w:t xml:space="preserve">2–2.5 semanas</w:t>
            </w:r>
          </w:p>
        </w:tc>
      </w:tr>
      <w:tr>
        <w:tc>
          <w:tcPr>
            <w:tcW w:type="dxa" w:w="1700"/>
            <w:shd w:fill="F2F4F7" w:color="auto" w:val="clear"/>
            <w:tcMar>
              <w:top w:type="dxa" w:w="100"/>
              <w:left w:type="dxa" w:w="120"/>
              <w:bottom w:type="dxa" w:w="100"/>
              <w:right w:type="dxa" w:w="120"/>
            </w:tcMar>
          </w:tcPr>
          <w:p>
            <w:r>
              <w:rPr>
                <w:b w:val="false"/>
                <w:bCs w:val="false"/>
                <w:color w:val="1A1A1A"/>
                <w:sz w:val="19"/>
                <w:szCs w:val="19"/>
              </w:rPr>
              <w:t xml:space="preserve">Fase 5</w:t>
            </w:r>
          </w:p>
        </w:tc>
        <w:tc>
          <w:tcPr>
            <w:tcW w:type="dxa" w:w="5100"/>
            <w:shd w:fill="F2F4F7" w:color="auto" w:val="clear"/>
            <w:tcMar>
              <w:top w:type="dxa" w:w="100"/>
              <w:left w:type="dxa" w:w="120"/>
              <w:bottom w:type="dxa" w:w="100"/>
              <w:right w:type="dxa" w:w="120"/>
            </w:tcMar>
          </w:tcPr>
          <w:p>
            <w:r>
              <w:rPr>
                <w:b w:val="false"/>
                <w:bCs w:val="false"/>
                <w:color w:val="1A1A1A"/>
                <w:sz w:val="19"/>
                <w:szCs w:val="19"/>
              </w:rPr>
              <w:t xml:space="preserve">Panel de superadministrador: alta de usuarios, asignación de roles y áreas.</w:t>
            </w:r>
          </w:p>
        </w:tc>
        <w:tc>
          <w:tcPr>
            <w:tcW w:type="dxa" w:w="2100"/>
            <w:shd w:fill="F2F4F7" w:color="auto" w:val="clear"/>
            <w:tcMar>
              <w:top w:type="dxa" w:w="100"/>
              <w:left w:type="dxa" w:w="120"/>
              <w:bottom w:type="dxa" w:w="100"/>
              <w:right w:type="dxa" w:w="120"/>
            </w:tcMar>
          </w:tcPr>
          <w:p>
            <w:r>
              <w:rPr>
                <w:b w:val="false"/>
                <w:bCs w:val="false"/>
                <w:color w:val="1A1A1A"/>
                <w:sz w:val="19"/>
                <w:szCs w:val="19"/>
              </w:rPr>
              <w:t xml:space="preserve">3–5 días</w:t>
            </w:r>
          </w:p>
        </w:tc>
      </w:tr>
      <w:tr>
        <w:tc>
          <w:tcPr>
            <w:tcW w:type="dxa" w:w="1700"/>
            <w:shd w:fill="FFFFFF" w:color="auto" w:val="clear"/>
            <w:tcMar>
              <w:top w:type="dxa" w:w="100"/>
              <w:left w:type="dxa" w:w="120"/>
              <w:bottom w:type="dxa" w:w="100"/>
              <w:right w:type="dxa" w:w="120"/>
            </w:tcMar>
          </w:tcPr>
          <w:p>
            <w:r>
              <w:rPr>
                <w:b w:val="false"/>
                <w:bCs w:val="false"/>
                <w:color w:val="1A1A1A"/>
                <w:sz w:val="19"/>
                <w:szCs w:val="19"/>
              </w:rPr>
              <w:t xml:space="preserve">Fase 6</w:t>
            </w:r>
          </w:p>
        </w:tc>
        <w:tc>
          <w:tcPr>
            <w:tcW w:type="dxa" w:w="5100"/>
            <w:shd w:fill="FFFFFF" w:color="auto" w:val="clear"/>
            <w:tcMar>
              <w:top w:type="dxa" w:w="100"/>
              <w:left w:type="dxa" w:w="120"/>
              <w:bottom w:type="dxa" w:w="100"/>
              <w:right w:type="dxa" w:w="120"/>
            </w:tcMar>
          </w:tcPr>
          <w:p>
            <w:r>
              <w:rPr>
                <w:b w:val="false"/>
                <w:bCs w:val="false"/>
                <w:color w:val="1A1A1A"/>
                <w:sz w:val="19"/>
                <w:szCs w:val="19"/>
              </w:rPr>
              <w:t xml:space="preserve">Migración del contenido estático existente a la base de datos, pruebas integrales y capacitación a los primeros administradores.</w:t>
            </w:r>
          </w:p>
        </w:tc>
        <w:tc>
          <w:tcPr>
            <w:tcW w:type="dxa" w:w="2100"/>
            <w:shd w:fill="FFFFFF" w:color="auto" w:val="clear"/>
            <w:tcMar>
              <w:top w:type="dxa" w:w="100"/>
              <w:left w:type="dxa" w:w="120"/>
              <w:bottom w:type="dxa" w:w="100"/>
              <w:right w:type="dxa" w:w="120"/>
            </w:tcMar>
          </w:tcPr>
          <w:p>
            <w:r>
              <w:rPr>
                <w:b w:val="false"/>
                <w:bCs w:val="false"/>
                <w:color w:val="1A1A1A"/>
                <w:sz w:val="19"/>
                <w:szCs w:val="19"/>
              </w:rPr>
              <w:t xml:space="preserve">1 semana</w:t>
            </w:r>
          </w:p>
        </w:tc>
      </w:tr>
    </w:tbl>
    <w:p>
      <w:pPr>
        <w:spacing w:after="160" w:before="160"/>
      </w:pPr>
      <w:r>
        <w:rPr>
          <w:i/>
          <w:iCs/>
          <w:color w:val="6B7280"/>
          <w:sz w:val="18"/>
          <w:szCs w:val="18"/>
        </w:rPr>
        <w:t xml:space="preserve">Estimaciones para un desarrollador dedicado; se ajustan según disponibilidad real y cantidad de páginas/roles a migrar.</w:t>
      </w:r>
    </w:p>
    <w:p>
      <w:pPr>
        <w:pStyle w:val="Heading1"/>
        <w:pBdr>
          <w:bottom w:val="single" w:color="C0392B" w:sz="6" w:space="4"/>
        </w:pBdr>
        <w:spacing w:after="160" w:before="400"/>
      </w:pPr>
      <w:r>
        <w:rPr>
          <w:b/>
          <w:bCs/>
          <w:color w:val="1B2A4A"/>
          <w:sz w:val="26"/>
          <w:szCs w:val="26"/>
        </w:rPr>
        <w:t xml:space="preserve">7. Requisitos previos</w:t>
      </w:r>
    </w:p>
    <w:p>
      <w:pPr>
        <w:pStyle w:val="ListParagraph"/>
        <w:numPr>
          <w:ilvl w:val="0"/>
          <w:numId w:val="2"/>
        </w:numPr>
        <w:spacing w:after="80" w:line="280"/>
      </w:pPr>
      <w:r>
        <w:rPr>
          <w:sz w:val="21"/>
          <w:szCs w:val="21"/>
        </w:rPr>
        <w:t xml:space="preserve">Servidor o entorno cloud donde correr la aplicación y la base de datos (ya disponible según lo conversado).</w:t>
      </w:r>
    </w:p>
    <w:p>
      <w:pPr>
        <w:pStyle w:val="ListParagraph"/>
        <w:numPr>
          <w:ilvl w:val="0"/>
          <w:numId w:val="2"/>
        </w:numPr>
        <w:spacing w:after="80" w:line="280"/>
      </w:pPr>
      <w:r>
        <w:rPr>
          <w:sz w:val="21"/>
          <w:szCs w:val="21"/>
        </w:rPr>
        <w:t xml:space="preserve">Permisos de administrador en Google Workspace para dar de alta la aplicación OAuth que habilita “Iniciar sesión con Google”.</w:t>
      </w:r>
    </w:p>
    <w:p>
      <w:pPr>
        <w:pStyle w:val="ListParagraph"/>
        <w:numPr>
          <w:ilvl w:val="0"/>
          <w:numId w:val="2"/>
        </w:numPr>
        <w:spacing w:after="80" w:line="280"/>
      </w:pPr>
      <w:r>
        <w:rPr>
          <w:sz w:val="21"/>
          <w:szCs w:val="21"/>
        </w:rPr>
        <w:t xml:space="preserve">Definición formal del organigrama a nivel de roles: qué rol ve qué mosaico/menú, y qué rol puede editar qué contenido.</w:t>
      </w:r>
    </w:p>
    <w:p>
      <w:pPr>
        <w:pStyle w:val="ListParagraph"/>
        <w:numPr>
          <w:ilvl w:val="0"/>
          <w:numId w:val="2"/>
        </w:numPr>
        <w:spacing w:after="80" w:line="280"/>
      </w:pPr>
      <w:r>
        <w:rPr>
          <w:sz w:val="21"/>
          <w:szCs w:val="21"/>
        </w:rPr>
        <w:t xml:space="preserve">Un responsable del lado de SP Seguridad que valide los roles y apruebe los permisos de edición por área.</w:t>
      </w:r>
    </w:p>
    <w:p>
      <w:pPr>
        <w:pStyle w:val="Heading1"/>
        <w:pBdr>
          <w:bottom w:val="single" w:color="C0392B" w:sz="6" w:space="4"/>
        </w:pBdr>
        <w:spacing w:after="160" w:before="400"/>
      </w:pPr>
      <w:r>
        <w:rPr>
          <w:b/>
          <w:bCs/>
          <w:color w:val="1B2A4A"/>
          <w:sz w:val="26"/>
          <w:szCs w:val="26"/>
        </w:rPr>
        <w:t xml:space="preserve">8. Riesgos y consideraciones</w:t>
      </w:r>
    </w:p>
    <w:p>
      <w:pPr>
        <w:pStyle w:val="ListParagraph"/>
        <w:numPr>
          <w:ilvl w:val="0"/>
          <w:numId w:val="2"/>
        </w:numPr>
        <w:spacing w:after="80" w:line="280"/>
      </w:pPr>
      <w:r>
        <w:rPr>
          <w:sz w:val="21"/>
          <w:szCs w:val="21"/>
        </w:rPr>
        <w:t xml:space="preserve">La migración de contenido estático existente a la base de datos es trabajo manual y crece con la cantidad de páginas ya publicadas.</w:t>
      </w:r>
    </w:p>
    <w:p>
      <w:pPr>
        <w:pStyle w:val="ListParagraph"/>
        <w:numPr>
          <w:ilvl w:val="0"/>
          <w:numId w:val="2"/>
        </w:numPr>
        <w:spacing w:after="80" w:line="280"/>
      </w:pPr>
      <w:r>
        <w:rPr>
          <w:sz w:val="21"/>
          <w:szCs w:val="21"/>
        </w:rPr>
        <w:t xml:space="preserve">Si el organigrama cambia con frecuencia, conviene que el superadmin pueda reordenar roles sin intervención técnica (contemplado en la Fase 5).</w:t>
      </w:r>
    </w:p>
    <w:p>
      <w:pPr>
        <w:pStyle w:val="ListParagraph"/>
        <w:numPr>
          <w:ilvl w:val="0"/>
          <w:numId w:val="2"/>
        </w:numPr>
        <w:spacing w:after="80" w:line="280"/>
      </w:pPr>
      <w:r>
        <w:rPr>
          <w:sz w:val="21"/>
          <w:szCs w:val="21"/>
        </w:rPr>
        <w:t xml:space="preserve">Correr un servidor propio implica responsabilidad de mantenimiento y backups, a diferencia del hosting estático actual, que no requería administración.</w:t>
      </w:r>
    </w:p>
    <w:p>
      <w:pPr>
        <w:pStyle w:val="ListParagraph"/>
        <w:numPr>
          <w:ilvl w:val="0"/>
          <w:numId w:val="2"/>
        </w:numPr>
        <w:spacing w:after="80" w:line="280"/>
      </w:pPr>
      <w:r>
        <w:rPr>
          <w:sz w:val="21"/>
          <w:szCs w:val="21"/>
        </w:rPr>
        <w:t xml:space="preserve">Dependencia externa: la app OAuth de Google debe ser aprobada por quien administra Google Workspace en la organización.</w:t>
      </w:r>
    </w:p>
    <w:p>
      <w:pPr>
        <w:pStyle w:val="Heading1"/>
        <w:pBdr>
          <w:bottom w:val="single" w:color="C0392B" w:sz="6" w:space="4"/>
        </w:pBdr>
        <w:spacing w:after="160" w:before="400"/>
      </w:pPr>
      <w:r>
        <w:rPr>
          <w:b/>
          <w:bCs/>
          <w:color w:val="1B2A4A"/>
          <w:sz w:val="26"/>
          <w:szCs w:val="26"/>
        </w:rPr>
        <w:t xml:space="preserve">9. Próximos pasos</w:t>
      </w:r>
    </w:p>
    <w:p>
      <w:pPr>
        <w:pStyle w:val="ListParagraph"/>
        <w:numPr>
          <w:ilvl w:val="0"/>
          <w:numId w:val="2"/>
        </w:numPr>
        <w:spacing w:after="80" w:line="280"/>
      </w:pPr>
      <w:r>
        <w:rPr>
          <w:sz w:val="21"/>
          <w:szCs w:val="21"/>
        </w:rPr>
        <w:t xml:space="preserve">Confirmar el servidor/entorno donde se va a alojar el proyecto.</w:t>
      </w:r>
    </w:p>
    <w:p>
      <w:pPr>
        <w:pStyle w:val="ListParagraph"/>
        <w:numPr>
          <w:ilvl w:val="0"/>
          <w:numId w:val="2"/>
        </w:numPr>
        <w:spacing w:after="80" w:line="280"/>
      </w:pPr>
      <w:r>
        <w:rPr>
          <w:sz w:val="21"/>
          <w:szCs w:val="21"/>
        </w:rPr>
        <w:t xml:space="preserve">Relevar el organigrama en detalle: roles, áreas y qué contenido corresponde editar a cada uno.</w:t>
      </w:r>
    </w:p>
    <w:p>
      <w:pPr>
        <w:pStyle w:val="ListParagraph"/>
        <w:numPr>
          <w:ilvl w:val="0"/>
          <w:numId w:val="2"/>
        </w:numPr>
        <w:spacing w:after="80" w:line="280"/>
      </w:pPr>
      <w:r>
        <w:rPr>
          <w:sz w:val="21"/>
          <w:szCs w:val="21"/>
        </w:rPr>
        <w:t xml:space="preserve">Dar de alta la app OAuth de Google Workspace.</w:t>
      </w:r>
    </w:p>
    <w:p>
      <w:pPr>
        <w:pStyle w:val="ListParagraph"/>
        <w:numPr>
          <w:ilvl w:val="0"/>
          <w:numId w:val="2"/>
        </w:numPr>
        <w:spacing w:after="80" w:line="280"/>
      </w:pPr>
      <w:r>
        <w:rPr>
          <w:sz w:val="21"/>
          <w:szCs w:val="21"/>
        </w:rPr>
        <w:t xml:space="preserve">Iniciar la Fase 0 (infraestructura) y Fase 1 (autenticación).</w:t>
      </w:r>
    </w:p>
    <w:p>
      <w:pPr>
        <w:pStyle w:val="Heading1"/>
        <w:pBdr>
          <w:bottom w:val="single" w:color="C0392B" w:sz="6" w:space="4"/>
        </w:pBdr>
        <w:spacing w:after="160" w:before="400"/>
      </w:pPr>
      <w:r>
        <w:rPr>
          <w:b/>
          <w:bCs/>
          <w:color w:val="1B2A4A"/>
          <w:sz w:val="26"/>
          <w:szCs w:val="26"/>
        </w:rPr>
        <w:t xml:space="preserve">10. Adenda — Sección general, pizarra institucional y notificaciones (10 de agosto de 2026)</w:t>
      </w:r>
    </w:p>
    <w:p>
      <w:pPr>
        <w:spacing w:after="160" w:line="300"/>
      </w:pPr>
      <w:r>
        <w:rPr>
          <w:sz w:val="21"/>
          <w:szCs w:val="21"/>
        </w:rPr>
        <w:t xml:space="preserve">A partir de una conversación de diseño del 10 de agosto de 2026 con Martin Wolcan, se incorpora al alcance una página principal separada de los mosaicos existentes (Mapa de Servicios, Sector Comunicaciones, Directorio de Áreas). Esta sección general no es un mosaico con permiso propio de área, sino la portada del sitio, con los mosaicos ubicados debajo. Su primera subsección es una pizarra institucional de novedades.</w:t>
      </w:r>
    </w:p>
    <w:p>
      <w:pPr>
        <w:spacing w:after="100" w:line="280"/>
      </w:pPr>
      <w:r>
        <w:rPr>
          <w:b/>
          <w:bCs/>
          <w:color w:val="1B2A4A"/>
          <w:sz w:val="21"/>
          <w:szCs w:val="21"/>
        </w:rPr>
        <w:t xml:space="preserve">Pizarra institucional: </w:t>
      </w:r>
      <w:r>
        <w:rPr>
          <w:sz w:val="21"/>
          <w:szCs w:val="21"/>
        </w:rPr>
        <w:t xml:space="preserve">formato tipo blog: publicaciones con título, cuerpo, autor, categoría (por ejemplo Feriados, Comunicados, RRHH) y fecha, con vigencia opcional. No es exclusiva de una sola área: distintos usuarios pueden publicar, por eso cada publicación registra su autor. El primer caso de uso es el área de RRHH.</w:t>
      </w:r>
    </w:p>
    <w:p>
      <w:pPr>
        <w:spacing w:after="100" w:line="280"/>
      </w:pPr>
      <w:r>
        <w:rPr>
          <w:b/>
          <w:bCs/>
          <w:color w:val="1B2A4A"/>
          <w:sz w:val="21"/>
          <w:szCs w:val="21"/>
        </w:rPr>
        <w:t xml:space="preserve">Permisos: </w:t>
      </w:r>
      <w:r>
        <w:rPr>
          <w:sz w:val="21"/>
          <w:szCs w:val="21"/>
        </w:rPr>
        <w:t xml:space="preserve">se reutiliza el mismo modelo de roles de la Fase 2 (tabla de permisos por rol y sección): la pizarra es una sección más de esa tabla, con reglas de visibilidad más amplias (todo usuario autenticado) y edición habilitada para el o los roles que correspondan (por ejemplo RRHH). No se requiere un mecanismo de permisos aparte.</w:t>
      </w:r>
    </w:p>
    <w:p>
      <w:pPr>
        <w:spacing w:after="100" w:line="280"/>
      </w:pPr>
      <w:r>
        <w:rPr>
          <w:b/>
          <w:bCs/>
          <w:color w:val="1B2A4A"/>
          <w:sz w:val="21"/>
          <w:szCs w:val="21"/>
        </w:rPr>
        <w:t xml:space="preserve">Notificación por email al publicar: </w:t>
      </w:r>
      <w:r>
        <w:rPr>
          <w:sz w:val="21"/>
          <w:szCs w:val="21"/>
        </w:rPr>
        <w:t xml:space="preserve">objetivo estratégico: mover comunicaciones de mayor interés (por ejemplo “Feriados”) del envío directo por mail a la publicación en el sitio, generando la necesidad de acceso y por lo tanto tráfico. Al publicarse una novedad, se dispara automáticamente un correo (“Nueva publicación en Feriados”) a los mismos usuarios que tienen permiso de ver esa sección. Técnicamente se resuelve con un Database Webhook de Supabase sobre la tabla de novedades, que dispara una Edge Function; el envío puede hacerse desde el mismo Google Workspace ya usado para el login, sin sumar un proveedor de mail externo.</w:t>
      </w:r>
    </w:p>
    <w:p>
      <w:pPr>
        <w:spacing w:after="100" w:line="280"/>
      </w:pPr>
      <w:r>
        <w:rPr>
          <w:b/>
          <w:bCs/>
          <w:color w:val="1B2A4A"/>
          <w:sz w:val="21"/>
          <w:szCs w:val="21"/>
        </w:rPr>
        <w:t xml:space="preserve">Notificaciones pendientes: </w:t>
      </w:r>
      <w:r>
        <w:rPr>
          <w:sz w:val="21"/>
          <w:szCs w:val="21"/>
        </w:rPr>
        <w:t xml:space="preserve">al iniciar sesión, cada usuario debe poder ver qué publicaciones todavía no leyó (indicador de pendientes/no leídas). Requiere una tabla adicional de lecturas por usuario (usuario, publicación, fecha de lectura) o un timestamp de última visita por usuario para calcular qué quedo pendiente.</w:t>
      </w:r>
    </w:p>
    <w:p>
      <w:pPr>
        <w:spacing w:after="160" w:line="300"/>
      </w:pPr>
      <w:r>
        <w:rPr>
          <w:sz w:val="21"/>
          <w:szCs w:val="21"/>
        </w:rPr>
        <w:t xml:space="preserve">Consideraciones para etapas posteriores (no bloquean el inicio del desarrollo):</w:t>
      </w:r>
    </w:p>
    <w:p>
      <w:pPr>
        <w:pStyle w:val="ListParagraph"/>
        <w:numPr>
          <w:ilvl w:val="0"/>
          <w:numId w:val="2"/>
        </w:numPr>
        <w:spacing w:after="80" w:line="280"/>
      </w:pPr>
      <w:r>
        <w:rPr>
          <w:sz w:val="21"/>
          <w:szCs w:val="21"/>
        </w:rPr>
        <w:t xml:space="preserve">Si el volumen de publicaciones crece, evaluar agrupar las notificaciones en un resumen diario en vez de un mail por publicación, para evitar fatiga de notificaciones.</w:t>
      </w:r>
    </w:p>
    <w:p>
      <w:pPr>
        <w:pStyle w:val="ListParagraph"/>
        <w:numPr>
          <w:ilvl w:val="0"/>
          <w:numId w:val="2"/>
        </w:numPr>
        <w:spacing w:after="80" w:line="280"/>
      </w:pPr>
      <w:r>
        <w:rPr>
          <w:sz w:val="21"/>
          <w:szCs w:val="21"/>
        </w:rPr>
        <w:t xml:space="preserve">Definir si la pizarra admite un solo editor por publicación o varios usuarios de la misma área, y si hace falta algún paso de aprobación antes de publicar.</w:t>
      </w:r>
    </w:p>
    <w:p>
      <w:pPr>
        <w:spacing w:after="160" w:line="300"/>
      </w:pPr>
      <w:r>
        <w:rPr>
          <w:sz w:val="21"/>
          <w:szCs w:val="21"/>
        </w:rPr>
        <w:t xml:space="preserve">Impacto en el plan de fases: estas funcionalidades no agregan una fase nueva. Se suman al alcance de la Fase 2 (modelo de roles) y, principalmente, a la Fase 4 (panel de administración de contenidos), cuyo esfuerzo estimado pasa de 1.5–2 semanas a 2–2.5 semanas para incluir el editor de la pizarra y el disparo de notificaciones.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2026-08-06T22:24:09.452Z</dcterms:created>
  <dcterms:modified xsi:type="dcterms:W3CDTF">2026-08-06T22:24:09.458Z</dcterms:modified>
</cp:coreProperties>
</file>

<file path=docProps/custom.xml><?xml version="1.0" encoding="utf-8"?>
<Properties xmlns="http://schemas.openxmlformats.org/officeDocument/2006/custom-properties" xmlns:vt="http://schemas.openxmlformats.org/officeDocument/2006/docPropsVTypes"/>
</file>