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Education MSNA Analysis Pipeline</w:t>
      </w:r>
    </w:p>
    <w:p>
      <w:r>
        <w:t>Generated on 2026-01-16</w:t>
      </w:r>
    </w:p>
    <w:p>
      <w:pPr>
        <w:pStyle w:val="Heading2"/>
      </w:pPr>
      <w:r>
        <w:t>Purpose</w:t>
      </w:r>
    </w:p>
    <w:p>
      <w:r>
        <w:t>This document describes the education MSNA analysis pipeline used to generate education indicators, weighted estimates, and reporting outputs for PiN and severity analysis.</w:t>
      </w:r>
    </w:p>
    <w:p>
      <w:pPr>
        <w:pStyle w:val="Heading2"/>
      </w:pPr>
      <w:r>
        <w:t>Workflow overview</w:t>
      </w:r>
    </w:p>
    <w:p>
      <w:r>
        <w:t>Raw MSNA data are transformed into child-level indicators, analysed using a country-specific LOA, labelled using Kobo metadata, and exported as Excel tables and figures.</w:t>
      </w:r>
    </w:p>
    <w:p>
      <w:pPr>
        <w:pStyle w:val="Heading2"/>
      </w:pPr>
      <w:r>
        <w:t>Configuration</w:t>
      </w:r>
    </w:p>
    <w:p>
      <w:r>
        <w:t>The pipeline is metadata-driven. Correct configuration of metadata_edu.xlsx is mandatory before running the analysis.</w:t>
      </w:r>
    </w:p>
    <w:p>
      <w:pPr>
        <w:pStyle w:val="Heading2"/>
      </w:pPr>
      <w:r>
        <w:t>Outputs</w:t>
      </w:r>
    </w:p>
    <w:p>
      <w:r>
        <w:t>Outputs include harmonised datasets, labelled analysis tables, Excel workbooks, and visual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