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27.3% (i.e. 1.2M)</w:t>
      </w:r>
      <w:r>
        <w:rPr>
          <w:rFonts w:ascii="Calibri" w:hAnsi="Calibri"/>
          <w:sz w:val="32"/>
        </w:rPr>
        <w:t xml:space="preserve"> of school-aged children are in need. Among them:</w:t>
      </w:r>
    </w:p>
    <w:p>
      <w:pPr>
        <w:pStyle w:val="ListBullet"/>
        <w:ind w:left="1440"/>
      </w:pPr>
      <w:r>
        <w:rPr>
          <w:rFonts w:ascii="Calibri" w:hAnsi="Calibri"/>
          <w:sz w:val="32"/>
        </w:rPr>
        <w:t>612.0K are girls and 614.7K are boys;</w:t>
      </w:r>
    </w:p>
    <w:p>
      <w:pPr>
        <w:pStyle w:val="ListBullet"/>
        <w:ind w:left="1440"/>
      </w:pPr>
      <w:r>
        <w:rPr>
          <w:rFonts w:ascii="Calibri" w:hAnsi="Calibri"/>
          <w:sz w:val="32"/>
        </w:rPr>
        <w:t>94.4K are 5 years old (ECE);</w:t>
      </w:r>
    </w:p>
    <w:p>
      <w:pPr>
        <w:pStyle w:val="ListBullet"/>
        <w:ind w:left="1440"/>
      </w:pPr>
      <w:r>
        <w:rPr>
          <w:rFonts w:ascii="Calibri" w:hAnsi="Calibri"/>
          <w:sz w:val="32"/>
        </w:rPr>
        <w:t>1.1M are between 6 and 17 years old;</w:t>
      </w:r>
    </w:p>
    <w:p>
      <w:pPr>
        <w:pStyle w:val="ListBullet"/>
        <w:ind w:left="1440"/>
      </w:pPr>
      <w:r>
        <w:rPr>
          <w:rFonts w:ascii="Calibri" w:hAnsi="Calibri"/>
          <w:sz w:val="32"/>
        </w:rPr>
        <w:t>122.7K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467.0K</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496.0K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165.2K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98.4K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1.2M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4.5M</w:t>
            </w:r>
          </w:p>
        </w:tc>
        <w:tc>
          <w:tcPr>
            <w:tcW w:type="dxa" w:w="960"/>
            <w:shd w:fill="#ebecc7"/>
            <w:vAlign w:val="center"/>
          </w:tcPr>
          <w:p>
            <w:pPr>
              <w:jc w:val="center"/>
            </w:pPr>
            <w:r>
              <w:t>72.7</w:t>
            </w:r>
          </w:p>
        </w:tc>
        <w:tc>
          <w:tcPr>
            <w:tcW w:type="dxa" w:w="960"/>
            <w:shd w:fill="#ebecc7"/>
            <w:vAlign w:val="center"/>
          </w:tcPr>
          <w:p>
            <w:pPr>
              <w:jc w:val="center"/>
            </w:pPr>
            <w:r>
              <w:t>3.3M</w:t>
            </w:r>
          </w:p>
        </w:tc>
        <w:tc>
          <w:tcPr>
            <w:tcW w:type="dxa" w:w="960"/>
            <w:shd w:fill="#c7d9ec"/>
            <w:vAlign w:val="center"/>
          </w:tcPr>
          <w:p>
            <w:pPr>
              <w:jc w:val="center"/>
            </w:pPr>
            <w:r>
              <w:t>16.3</w:t>
            </w:r>
          </w:p>
        </w:tc>
        <w:tc>
          <w:tcPr>
            <w:tcW w:type="dxa" w:w="960"/>
            <w:shd w:fill="#c7d9ec"/>
            <w:vAlign w:val="center"/>
          </w:tcPr>
          <w:p>
            <w:pPr>
              <w:jc w:val="center"/>
            </w:pPr>
            <w:r>
              <w:t>732.2K</w:t>
            </w:r>
          </w:p>
        </w:tc>
        <w:tc>
          <w:tcPr>
            <w:tcW w:type="dxa" w:w="960"/>
            <w:shd w:fill="#c7ecdb"/>
            <w:vAlign w:val="center"/>
          </w:tcPr>
          <w:p>
            <w:pPr>
              <w:jc w:val="center"/>
            </w:pPr>
            <w:r>
              <w:t>9.2</w:t>
            </w:r>
          </w:p>
        </w:tc>
        <w:tc>
          <w:tcPr>
            <w:tcW w:type="dxa" w:w="960"/>
            <w:shd w:fill="#c7ecdb"/>
            <w:vAlign w:val="center"/>
          </w:tcPr>
          <w:p>
            <w:pPr>
              <w:jc w:val="center"/>
            </w:pPr>
            <w:r>
              <w:t>415.1K</w:t>
            </w:r>
          </w:p>
        </w:tc>
        <w:tc>
          <w:tcPr>
            <w:tcW w:type="dxa" w:w="960"/>
            <w:shd w:fill="#b3d3d4"/>
            <w:vAlign w:val="center"/>
          </w:tcPr>
          <w:p>
            <w:pPr>
              <w:jc w:val="center"/>
            </w:pPr>
            <w:r>
              <w:t>1.8</w:t>
            </w:r>
          </w:p>
        </w:tc>
        <w:tc>
          <w:tcPr>
            <w:tcW w:type="dxa" w:w="960"/>
            <w:shd w:fill="#b3d3d4"/>
            <w:vAlign w:val="center"/>
          </w:tcPr>
          <w:p>
            <w:pPr>
              <w:jc w:val="center"/>
            </w:pPr>
            <w:r>
              <w:t>79.3K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750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750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(1.2M):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42.4%</w:t>
            </w:r>
          </w:p>
        </w:tc>
        <w:tc>
          <w:tcPr>
            <w:tcW w:type="dxa" w:w="2880"/>
            <w:tcW w:w="700" w:type="dxa"/>
            <w:shd w:fill="#f4a582"/>
          </w:tcPr>
          <w:p>
            <w:pPr>
              <w:jc w:val="center"/>
            </w:pPr>
            <w:r>
              <w:rPr>
                <w:rFonts w:ascii="Calibri" w:hAnsi="Calibri"/>
                <w:sz w:val="22"/>
              </w:rPr>
              <w:t>520.0K</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17.3%</w:t>
            </w:r>
          </w:p>
        </w:tc>
        <w:tc>
          <w:tcPr>
            <w:tcW w:type="dxa" w:w="2880"/>
            <w:tcW w:w="700" w:type="dxa"/>
            <w:shd w:fill="#fee8c8"/>
          </w:tcPr>
          <w:p>
            <w:pPr>
              <w:jc w:val="center"/>
            </w:pPr>
            <w:r>
              <w:rPr>
                <w:rFonts w:ascii="Calibri" w:hAnsi="Calibri"/>
                <w:sz w:val="22"/>
              </w:rPr>
              <w:t>212.2K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6.5%</w:t>
            </w:r>
          </w:p>
        </w:tc>
        <w:tc>
          <w:tcPr>
            <w:tcW w:type="dxa" w:w="2880"/>
            <w:tcW w:w="700" w:type="dxa"/>
            <w:shd w:fill="#fff7ec"/>
          </w:tcPr>
          <w:p>
            <w:pPr>
              <w:jc w:val="center"/>
            </w:pPr>
            <w:r>
              <w:rPr>
                <w:rFonts w:ascii="Calibri" w:hAnsi="Calibri"/>
                <w:sz w:val="22"/>
              </w:rPr>
              <w:t>80.1K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ddbc7"/>
          </w:tcPr>
          <w:p>
            <w:pPr>
              <w:jc w:val="center"/>
            </w:pPr>
            <w:r>
              <w:rPr>
                <w:rFonts w:ascii="Calibri" w:hAnsi="Calibri"/>
                <w:sz w:val="22"/>
              </w:rPr>
              <w:t>33.8%</w:t>
            </w:r>
          </w:p>
        </w:tc>
        <w:tc>
          <w:tcPr>
            <w:tcW w:type="dxa" w:w="2880"/>
            <w:tcW w:w="700" w:type="dxa"/>
            <w:shd w:fill="#fddbc7"/>
          </w:tcPr>
          <w:p>
            <w:pPr>
              <w:jc w:val="center"/>
            </w:pPr>
            <w:r>
              <w:rPr>
                <w:rFonts w:ascii="Calibri" w:hAnsi="Calibri"/>
                <w:sz w:val="22"/>
              </w:rPr>
              <w:t>414.4K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HOST_COMMUNITY children in need (467.0K):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35.2%</w:t>
            </w:r>
          </w:p>
        </w:tc>
        <w:tc>
          <w:tcPr>
            <w:tcW w:type="dxa" w:w="2880"/>
            <w:tcW w:w="700" w:type="dxa"/>
            <w:shd w:fill="#fddbc7"/>
          </w:tcPr>
          <w:p>
            <w:pPr>
              <w:jc w:val="center"/>
            </w:pPr>
            <w:r>
              <w:rPr>
                <w:rFonts w:ascii="Calibri" w:hAnsi="Calibri"/>
                <w:sz w:val="18"/>
              </w:rPr>
              <w:t>164.2K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19.4%</w:t>
            </w:r>
          </w:p>
        </w:tc>
        <w:tc>
          <w:tcPr>
            <w:tcW w:type="dxa" w:w="2880"/>
            <w:tcW w:w="700" w:type="dxa"/>
            <w:shd w:fill="#fee8c8"/>
          </w:tcPr>
          <w:p>
            <w:pPr>
              <w:jc w:val="center"/>
            </w:pPr>
            <w:r>
              <w:rPr>
                <w:rFonts w:ascii="Calibri" w:hAnsi="Calibri"/>
                <w:sz w:val="18"/>
              </w:rPr>
              <w:t>90.5K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1.5%</w:t>
            </w:r>
          </w:p>
        </w:tc>
        <w:tc>
          <w:tcPr>
            <w:tcW w:type="dxa" w:w="2880"/>
            <w:tcW w:w="700" w:type="dxa"/>
            <w:shd w:fill="#fff7ec"/>
          </w:tcPr>
          <w:p>
            <w:pPr>
              <w:jc w:val="center"/>
            </w:pPr>
            <w:r>
              <w:rPr>
                <w:rFonts w:ascii="Calibri" w:hAnsi="Calibri"/>
                <w:sz w:val="18"/>
              </w:rPr>
              <w:t>7.2K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43.9%</w:t>
            </w:r>
          </w:p>
        </w:tc>
        <w:tc>
          <w:tcPr>
            <w:tcW w:type="dxa" w:w="2880"/>
            <w:tcW w:w="700" w:type="dxa"/>
            <w:shd w:fill="#f4a582"/>
          </w:tcPr>
          <w:p>
            <w:pPr>
              <w:jc w:val="center"/>
            </w:pPr>
            <w:r>
              <w:rPr>
                <w:rFonts w:ascii="Calibri" w:hAnsi="Calibri"/>
                <w:sz w:val="18"/>
              </w:rPr>
              <w:t>205.1K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(496.0K):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40.6%</w:t>
            </w:r>
          </w:p>
        </w:tc>
        <w:tc>
          <w:tcPr>
            <w:tcW w:type="dxa" w:w="2880"/>
            <w:tcW w:w="700" w:type="dxa"/>
            <w:shd w:fill="#f4a582"/>
          </w:tcPr>
          <w:p>
            <w:pPr>
              <w:jc w:val="center"/>
            </w:pPr>
            <w:r>
              <w:rPr>
                <w:rFonts w:ascii="Calibri" w:hAnsi="Calibri"/>
                <w:sz w:val="18"/>
              </w:rPr>
              <w:t>201.4K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18.3%</w:t>
            </w:r>
          </w:p>
        </w:tc>
        <w:tc>
          <w:tcPr>
            <w:tcW w:type="dxa" w:w="2880"/>
            <w:tcW w:w="700" w:type="dxa"/>
            <w:shd w:fill="#fee8c8"/>
          </w:tcPr>
          <w:p>
            <w:pPr>
              <w:jc w:val="center"/>
            </w:pPr>
            <w:r>
              <w:rPr>
                <w:rFonts w:ascii="Calibri" w:hAnsi="Calibri"/>
                <w:sz w:val="18"/>
              </w:rPr>
              <w:t>91.0K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8.4%</w:t>
            </w:r>
          </w:p>
        </w:tc>
        <w:tc>
          <w:tcPr>
            <w:tcW w:type="dxa" w:w="2880"/>
            <w:tcW w:w="700" w:type="dxa"/>
            <w:shd w:fill="#fff7ec"/>
          </w:tcPr>
          <w:p>
            <w:pPr>
              <w:jc w:val="center"/>
            </w:pPr>
            <w:r>
              <w:rPr>
                <w:rFonts w:ascii="Calibri" w:hAnsi="Calibri"/>
                <w:sz w:val="18"/>
              </w:rPr>
              <w:t>41.7K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32.6%</w:t>
            </w:r>
          </w:p>
        </w:tc>
        <w:tc>
          <w:tcPr>
            <w:tcW w:type="dxa" w:w="2880"/>
            <w:tcW w:w="700" w:type="dxa"/>
            <w:shd w:fill="#fddbc7"/>
          </w:tcPr>
          <w:p>
            <w:pPr>
              <w:jc w:val="center"/>
            </w:pPr>
            <w:r>
              <w:rPr>
                <w:rFonts w:ascii="Calibri" w:hAnsi="Calibri"/>
                <w:sz w:val="18"/>
              </w:rPr>
              <w:t>161.9K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(165.2K):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59.0%</w:t>
            </w:r>
          </w:p>
        </w:tc>
        <w:tc>
          <w:tcPr>
            <w:tcW w:type="dxa" w:w="2880"/>
            <w:tcW w:w="700" w:type="dxa"/>
            <w:shd w:fill="#f4a582"/>
          </w:tcPr>
          <w:p>
            <w:pPr>
              <w:jc w:val="center"/>
            </w:pPr>
            <w:r>
              <w:rPr>
                <w:rFonts w:ascii="Calibri" w:hAnsi="Calibri"/>
                <w:sz w:val="18"/>
              </w:rPr>
              <w:t>97.5K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5.1%</w:t>
            </w:r>
          </w:p>
        </w:tc>
        <w:tc>
          <w:tcPr>
            <w:tcW w:type="dxa" w:w="2880"/>
            <w:tcW w:w="700" w:type="dxa"/>
            <w:shd w:fill="#fff7ec"/>
          </w:tcPr>
          <w:p>
            <w:pPr>
              <w:jc w:val="center"/>
            </w:pPr>
            <w:r>
              <w:rPr>
                <w:rFonts w:ascii="Calibri" w:hAnsi="Calibri"/>
                <w:sz w:val="18"/>
              </w:rPr>
              <w:t>8.4K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ddbc7"/>
          </w:tcPr>
          <w:p>
            <w:pPr>
              <w:jc w:val="center"/>
            </w:pPr>
            <w:r>
              <w:rPr>
                <w:rFonts w:ascii="Calibri" w:hAnsi="Calibri"/>
                <w:sz w:val="18"/>
              </w:rPr>
              <w:t>18.8%</w:t>
            </w:r>
          </w:p>
        </w:tc>
        <w:tc>
          <w:tcPr>
            <w:tcW w:type="dxa" w:w="2880"/>
            <w:tcW w:w="700" w:type="dxa"/>
            <w:shd w:fill="#fddbc7"/>
          </w:tcPr>
          <w:p>
            <w:pPr>
              <w:jc w:val="center"/>
            </w:pPr>
            <w:r>
              <w:rPr>
                <w:rFonts w:ascii="Calibri" w:hAnsi="Calibri"/>
                <w:sz w:val="18"/>
              </w:rPr>
              <w:t>31.0K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17.1%</w:t>
            </w:r>
          </w:p>
        </w:tc>
        <w:tc>
          <w:tcPr>
            <w:tcW w:type="dxa" w:w="2880"/>
            <w:tcW w:w="700" w:type="dxa"/>
            <w:shd w:fill="#fee8c8"/>
          </w:tcPr>
          <w:p>
            <w:pPr>
              <w:jc w:val="center"/>
            </w:pPr>
            <w:r>
              <w:rPr>
                <w:rFonts w:ascii="Calibri" w:hAnsi="Calibri"/>
                <w:sz w:val="18"/>
              </w:rPr>
              <w:t>28.3K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IDP_CAMP children in need (98.4K):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57.8%</w:t>
            </w:r>
          </w:p>
        </w:tc>
        <w:tc>
          <w:tcPr>
            <w:tcW w:type="dxa" w:w="2880"/>
            <w:tcW w:w="700" w:type="dxa"/>
            <w:shd w:fill="#f4a582"/>
          </w:tcPr>
          <w:p>
            <w:pPr>
              <w:jc w:val="center"/>
            </w:pPr>
            <w:r>
              <w:rPr>
                <w:rFonts w:ascii="Calibri" w:hAnsi="Calibri"/>
                <w:sz w:val="18"/>
              </w:rPr>
              <w:t>56.9K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ddbc7"/>
          </w:tcPr>
          <w:p>
            <w:pPr>
              <w:jc w:val="center"/>
            </w:pPr>
            <w:r>
              <w:rPr>
                <w:rFonts w:ascii="Calibri" w:hAnsi="Calibri"/>
                <w:sz w:val="18"/>
              </w:rPr>
              <w:t>22.7%</w:t>
            </w:r>
          </w:p>
        </w:tc>
        <w:tc>
          <w:tcPr>
            <w:tcW w:type="dxa" w:w="2880"/>
            <w:tcW w:w="700" w:type="dxa"/>
            <w:shd w:fill="#fddbc7"/>
          </w:tcPr>
          <w:p>
            <w:pPr>
              <w:jc w:val="center"/>
            </w:pPr>
            <w:r>
              <w:rPr>
                <w:rFonts w:ascii="Calibri" w:hAnsi="Calibri"/>
                <w:sz w:val="18"/>
              </w:rPr>
              <w:t>22.4K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122.0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19.4%</w:t>
            </w:r>
          </w:p>
        </w:tc>
        <w:tc>
          <w:tcPr>
            <w:tcW w:type="dxa" w:w="2880"/>
            <w:tcW w:w="700" w:type="dxa"/>
            <w:shd w:fill="#fee8c8"/>
          </w:tcPr>
          <w:p>
            <w:pPr>
              <w:jc w:val="center"/>
            </w:pPr>
            <w:r>
              <w:rPr>
                <w:rFonts w:ascii="Calibri" w:hAnsi="Calibri"/>
                <w:sz w:val="18"/>
              </w:rPr>
              <w:t>19.1K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31834"/>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3183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