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09/10/2025 09:11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2"/>
      </w:pPr>
      <w:r>
        <w:t xml:space="preserve">      Additional indicator (severity 3):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no_indicator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2"/>
      </w:pPr>
      <w:r>
        <w:t xml:space="preserve">      Additional indicator (severity 4):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(ind in-school) or OoS facing the following aggravating circumstances. </w:t>
      </w:r>
      <w:r>
        <w:rPr>
          <w:b/>
        </w:rPr>
        <w:t>edu_disrupted_attack</w:t>
      </w:r>
      <w:r>
        <w:t xml:space="preserve"> and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Absence d'école appropriée et accessible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(ind in-school) or OoS facing the following aggravating circumstances. 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ListBullet2"/>
      </w:pPr>
      <w:r>
        <w:t xml:space="preserve">      Le programme scolaire et/ou les certificats délivrés par l'école ne sont pas perçus comme utiles pour le ménage.  </w:t>
      </w:r>
    </w:p>
    <w:p>
      <w:pPr>
        <w:pStyle w:val="ListBullet2"/>
      </w:pPr>
      <w:r>
        <w:t xml:space="preserve">      Impossibilité de payer les coûts directs de l'éducation (par exemple, les frais de scolarité, les fournitures, le transport)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