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Central African Republic -- CAR</w:t>
      </w:r>
    </w:p>
    <w:p>
      <w:pPr>
        <w:pStyle w:val="ListBullet"/>
      </w:pPr>
      <w:r>
        <w:t>Date calculation: 13/10/2025 15:53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edu_disrupted_attack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 xml:space="preserve"> and </w:t>
      </w:r>
      <w:r>
        <w:rPr>
          <w:b/>
        </w:rPr>
        <w:t>edu_test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Absence d'école appropriée et accessible</w:t>
      </w:r>
    </w:p>
    <w:p>
      <w:pPr>
        <w:pStyle w:val="ListBullet2"/>
      </w:pPr>
      <w:r>
        <w:t xml:space="preserve">      Manque d'intérêt pour l'éducation formelle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Manque d'enseignants ou qualité médiocre des enseignants</w:t>
      </w:r>
    </w:p>
    <w:p>
      <w:pPr>
        <w:pStyle w:val="ListBullet2"/>
      </w:pPr>
      <w:r>
        <w:t xml:space="preserve">      Le programme scolaire et/ou les certificats délivrés par l'école ne sont pas perçus comme utiles pour le ménage.  </w:t>
      </w:r>
    </w:p>
    <w:p>
      <w:pPr>
        <w:pStyle w:val="ListBullet2"/>
      </w:pPr>
      <w:r>
        <w:t xml:space="preserve">      Impossibilité de payer les coûts directs de l'éducation (par exemple, les frais de scolarité, les fournitures, le transport)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Sub-prefectures (sous-préfectures)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