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Parameters Used as Input for the PiN Calculation</w:t>
      </w:r>
    </w:p>
    <w:p>
      <w:pPr>
        <w:pStyle w:val="Heading2"/>
      </w:pPr>
      <w:r>
        <w:t>General Information</w:t>
      </w:r>
    </w:p>
    <w:p>
      <w:pPr>
        <w:pStyle w:val="ListBullet"/>
      </w:pPr>
      <w:r>
        <w:t>Country: Central African Republic -- CAR</w:t>
      </w:r>
    </w:p>
    <w:p>
      <w:pPr>
        <w:pStyle w:val="ListBullet"/>
      </w:pPr>
      <w:r>
        <w:t>Date calculation: 09/10/2025 08:07</w:t>
      </w:r>
    </w:p>
    <w:p>
      <w:pPr>
        <w:pStyle w:val="Heading2"/>
      </w:pPr>
      <w:r>
        <w:t>MSNA indicators/variables by dimension</w:t>
      </w:r>
    </w:p>
    <w:p>
      <w:pPr>
        <w:pStyle w:val="ListBullet"/>
      </w:pPr>
      <w:r>
        <w:rPr>
          <w:b/>
        </w:rPr>
        <w:t>Access: edu_access</w:t>
      </w:r>
    </w:p>
    <w:p>
      <w:pPr>
        <w:pStyle w:val="ListBullet"/>
      </w:pPr>
      <w:r>
        <w:rPr>
          <w:b/>
        </w:rPr>
        <w:t>Learning condition:</w:t>
      </w:r>
    </w:p>
    <w:p>
      <w:pPr>
        <w:pStyle w:val="ListBullet2"/>
      </w:pPr>
      <w:r>
        <w:t xml:space="preserve">      Education disrupted due to teacher absences: edu_disrupted_teacher</w:t>
      </w:r>
    </w:p>
    <w:p>
      <w:pPr>
        <w:pStyle w:val="ListBullet2"/>
      </w:pPr>
      <w:r>
        <w:t xml:space="preserve">      Education disrupted due to natural hazard: edu_disrupted_hazards</w:t>
      </w:r>
    </w:p>
    <w:p>
      <w:pPr>
        <w:pStyle w:val="ListBullet"/>
      </w:pPr>
      <w:r>
        <w:rPr>
          <w:b/>
        </w:rPr>
        <w:t>Protected environment:</w:t>
      </w:r>
    </w:p>
    <w:p>
      <w:pPr>
        <w:pStyle w:val="ListBullet2"/>
      </w:pPr>
      <w:r>
        <w:t xml:space="preserve">      Education disrupted due to school being used as IDP shelter: edu_disrupted_displaced</w:t>
      </w:r>
    </w:p>
    <w:p>
      <w:pPr>
        <w:pStyle w:val="ListBullet2"/>
      </w:pPr>
      <w:r>
        <w:t xml:space="preserve">      Education disrupted due to school being occupied by armed groups: no_indicator</w:t>
      </w:r>
    </w:p>
    <w:p>
      <w:pPr>
        <w:pStyle w:val="ListBullet"/>
      </w:pPr>
      <w:r>
        <w:rPr>
          <w:b/>
        </w:rPr>
        <w:t>Aggravating circumstances: edu_barrier</w:t>
      </w:r>
    </w:p>
    <w:p>
      <w:pPr>
        <w:pStyle w:val="Heading2"/>
      </w:pPr>
      <w:r>
        <w:t>Severity Classification used for this calculation</w:t>
      </w:r>
    </w:p>
    <w:p>
      <w:pPr>
        <w:pStyle w:val="ListBullet"/>
      </w:pPr>
      <w:r>
        <w:rPr>
          <w:b/>
          <w:color w:val="FFA500"/>
        </w:rPr>
        <w:t xml:space="preserve">Severity level 3: </w:t>
      </w:r>
      <w:r>
        <w:t xml:space="preserve">OoS children who do NOT endure aggravating circumstances or in-school children whose education was disrupted due to: </w:t>
      </w:r>
      <w:r>
        <w:rPr>
          <w:b/>
        </w:rPr>
        <w:t>edu_disrupted_teacher</w:t>
      </w:r>
      <w:r>
        <w:t xml:space="preserve"> and </w:t>
      </w:r>
      <w:r>
        <w:rPr>
          <w:b/>
        </w:rPr>
        <w:t>edu_disrupted_hazards</w:t>
      </w:r>
      <w:r>
        <w:t>.</w:t>
      </w:r>
    </w:p>
    <w:p>
      <w:pPr>
        <w:pStyle w:val="ListBullet"/>
      </w:pPr>
      <w:r>
        <w:rPr>
          <w:b/>
          <w:color w:val="FF8C00"/>
        </w:rPr>
        <w:t xml:space="preserve">Severity level 4: </w:t>
      </w:r>
      <w:r>
        <w:t xml:space="preserve">In-school children whose education disrupted due to </w:t>
      </w:r>
      <w:r>
        <w:rPr>
          <w:b/>
        </w:rPr>
        <w:t>edu_disrupted_displaced</w:t>
      </w:r>
      <w:r>
        <w:t xml:space="preserve"> or OoS facing the following aggravating circumstances.</w:t>
      </w:r>
    </w:p>
    <w:p>
      <w:pPr>
        <w:pStyle w:val="ListBullet2"/>
      </w:pPr>
      <w:r>
        <w:t xml:space="preserve">      Manque d'intérêt pour l'éducation formelle</w:t>
      </w:r>
    </w:p>
    <w:p>
      <w:pPr>
        <w:pStyle w:val="ListBullet2"/>
      </w:pPr>
      <w:r>
        <w:t xml:space="preserve">      Absence d'école appropriée et accessible</w:t>
      </w:r>
    </w:p>
    <w:p>
      <w:pPr>
        <w:pStyle w:val="ListBullet2"/>
      </w:pPr>
      <w:r>
        <w:t xml:space="preserve">      L'école a été fermée en raison de dommages, d'une catastrophe naturelle ou d'un conflit.</w:t>
      </w:r>
    </w:p>
    <w:p>
      <w:pPr>
        <w:pStyle w:val="ListBullet"/>
      </w:pPr>
      <w:r>
        <w:rPr>
          <w:b/>
          <w:color w:val="FF4500"/>
        </w:rPr>
        <w:t xml:space="preserve">Severity level 5: </w:t>
      </w:r>
      <w:r>
        <w:t xml:space="preserve">In-school children whose education disrupted due to </w:t>
      </w:r>
      <w:r>
        <w:rPr>
          <w:b/>
        </w:rPr>
        <w:t>no_indicator</w:t>
      </w:r>
      <w:r>
        <w:t xml:space="preserve"> or OoS facing the following aggravating circumstances.</w:t>
      </w:r>
    </w:p>
    <w:p>
      <w:pPr>
        <w:pStyle w:val="ListBullet2"/>
      </w:pPr>
      <w:r>
        <w:t xml:space="preserve">      Manque d'enseignants ou qualité médiocre des enseignants</w:t>
      </w:r>
    </w:p>
    <w:p>
      <w:pPr>
        <w:pStyle w:val="ListBullet2"/>
      </w:pPr>
      <w:r>
        <w:t xml:space="preserve">      Le programme scolaire et/ou les certificats délivrés par l'école ne sont pas perçus comme utiles pour le ménage.  </w:t>
      </w:r>
    </w:p>
    <w:p>
      <w:pPr>
        <w:pStyle w:val="ListBullet2"/>
      </w:pPr>
      <w:r>
        <w:t xml:space="preserve">      Impossibilité de payer les coûts directs de l'éducation (par exemple, les frais de scolarité, les fournitures, le transport)</w:t>
      </w:r>
    </w:p>
    <w:p>
      <w:pPr>
        <w:pStyle w:val="Heading2"/>
      </w:pPr>
      <w:r>
        <w:t>Administrative Unit</w:t>
      </w:r>
    </w:p>
    <w:p>
      <w:pPr>
        <w:pStyle w:val="ListBullet"/>
      </w:pPr>
      <w:r>
        <w:t>Hno unit of analysis: Admin_2: Sub-prefectures (sous-préfectures)</w:t>
      </w:r>
    </w:p>
    <w:p>
      <w:pPr>
        <w:pStyle w:val="ListBullet"/>
      </w:pPr>
      <w:r>
        <w:t>Mismatch admin: False</w:t>
      </w:r>
    </w:p>
    <w:p>
      <w:pPr>
        <w:pStyle w:val="Heading2"/>
      </w:pPr>
      <w:r>
        <w:t>School Cycles</w:t>
      </w:r>
    </w:p>
    <w:p>
      <w:pPr>
        <w:pStyle w:val="ListBullet"/>
      </w:pPr>
      <w:r>
        <w:t>Age Ranges: [11, 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