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Burkina_Faso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/>
    <w:p>
      <w:r>
        <w:rPr>
          <w:b/>
          <w:color w:val="569697"/>
          <w:sz w:val="30"/>
        </w:rPr>
        <w:t>34.6% (i.e. 23.8M)</w:t>
      </w:r>
      <w:r>
        <w:rPr>
          <w:sz w:val="30"/>
        </w:rPr>
        <w:t xml:space="preserve"> of school-aged children are in need. Among them: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10.5M are girls and 13.3M are boys;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2.4M are 5 years old (ECE);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2.4M are children with disability.</w:t>
      </w:r>
    </w:p>
    <w:p/>
    <w:p>
      <w:r>
        <w:t>School-aged children in need, according to population groups: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rPr>
          <w:trHeight w:val="300" w:hRule="exact"/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Population groups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Number of school-aged children in need of education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NON_PDI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12.6M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PDI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11.1M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TOTAL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23.8M</w:t>
            </w:r>
          </w:p>
        </w:tc>
      </w:tr>
    </w:tbl>
    <w:p/>
    <w:p>
      <w:r>
        <w:t>Additionally, X of adults (teachers/educational staff) are in need of education assistance.</w:t>
      </w:r>
    </w:p>
    <w:p>
      <w:pPr>
        <w:pStyle w:val="Heading3"/>
      </w:pPr>
      <w:r>
        <w:rPr>
          <w:rFonts w:ascii="Calibri" w:hAnsi="Calibri"/>
          <w:sz w:val="36"/>
        </w:rPr>
        <w:t>School-aged children 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5760"/>
            <w:gridSpan w:val="6"/>
            <w:vAlign w:val="center"/>
            <w:shd w:fill="#ED7D31"/>
            <w:shd w:fill="#ED7D31"/>
            <w:vAlign w:val="center"/>
            <w:vAlign w:val="center"/>
            <w:vAlign w:val="center"/>
            <w:vAlign w:val="center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School-aged children PiN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levels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68.7M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65.4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44.9M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33.4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22.9M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1.3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858K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8K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Unpacking levels of severity for each population group</w:t>
      </w:r>
    </w:p>
    <w:p>
      <w:r>
        <w:drawing>
          <wp:inline xmlns:a="http://schemas.openxmlformats.org/drawingml/2006/main" xmlns:pic="http://schemas.openxmlformats.org/drawingml/2006/picture">
            <wp:extent cx="5486400" cy="257595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9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Unpacking children needs</w:t>
      </w:r>
    </w:p>
    <w:p>
      <w:r>
        <w:t>Considering only the children in need, it is possible to explore the needs driving the severity.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the all children in need (23.8M):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95.3%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22.6M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Study in unacceptable basic learning conditions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1.1%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258K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Evolve in a non-protective education environment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3.3%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791K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0.3%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75K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NON_PDI children in need (12.6M):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93.5%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11.8M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1.6%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200K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4.5%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571K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0.4%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52K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PDI children in need (11.1M):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97.3%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10.8M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0.5%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58K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2.0%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219K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0.2%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23K</w:t>
            </w:r>
          </w:p>
        </w:tc>
      </w:tr>
    </w:tbl>
    <w:p/>
    <w:p>
      <w:r>
        <w:br w:type="page"/>
      </w:r>
    </w:p>
    <w:p>
      <w:pPr>
        <w:pStyle w:val="Heading3"/>
      </w:pPr>
      <w:r>
        <w:rPr>
          <w:rFonts w:ascii="Calibri" w:hAnsi="Calibri"/>
          <w:sz w:val="36"/>
        </w:rPr>
        <w:t>Children's profile (from MSNA, HH survey)</w:t>
      </w:r>
    </w:p>
    <w:p>
      <w:r>
        <w:t>The graphics below shows school-aged children profile, relying on the 4 dimensions of the education PiN (ALPA, Access to education, Learning conditions, Protection level in or on the way to school and Aggravating circumstances).</w:t>
      </w:r>
    </w:p>
    <w:p>
      <w:r>
        <w:drawing>
          <wp:inline xmlns:a="http://schemas.openxmlformats.org/drawingml/2006/main" xmlns:pic="http://schemas.openxmlformats.org/drawingml/2006/picture">
            <wp:extent cx="5486400" cy="652770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apshot_grouped_horizontal_bar_chart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08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8116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16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