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Calibri" w:hAnsi="Calibri"/>
          <w:b/>
          <w:sz w:val="48"/>
        </w:rPr>
        <w:t>Burkina_Faso – PiN insight</w:t>
      </w:r>
    </w:p>
    <w:tbl>
      <w:tblPr>
        <w:tblW w:type="auto" w:w="0"/>
        <w:jc w:val="center"/>
        <w:tblLayout w:type="fixed"/>
        <w:tblLook w:firstColumn="1" w:firstRow="1" w:lastColumn="0" w:lastRow="0" w:noHBand="0" w:noVBand="1" w:val="04A0"/>
      </w:tblPr>
      <w:tblGrid>
        <w:gridCol w:w="9360"/>
      </w:tblGrid>
      <w:tr>
        <w:tc>
          <w:tcPr>
            <w:tcW w:type="dxa" w:w="8640"/>
            <w:shd w:fill="e0e0e0"/>
          </w:tcPr>
          <w:p/>
          <w:p>
            <w:pPr>
              <w:spacing w:before="0" w:after="0" w:line="240" w:lineRule="exact"/>
            </w:pPr>
            <w:r>
              <w:rPr>
                <w:rFonts w:ascii="Calibri" w:hAnsi="Calibri"/>
                <w:b/>
                <w:sz w:val="20"/>
              </w:rPr>
              <w:t>Education PiN definition</w:t>
            </w:r>
            <w:r>
              <w:rPr>
                <w:rFonts w:ascii="Calibri" w:hAnsi="Calibri"/>
                <w:sz w:val="20"/>
              </w:rPr>
              <w:br/>
              <w:t>The definition agreed globally and as part of the JIAF of a child in need is the following:</w:t>
              <w:br/>
              <w:t>Number of school-aged children and youths in the areas affected by crisis who do not have access to protective education and acceptable learning conditions, which can negatively impact:</w:t>
              <w:br/>
            </w:r>
          </w:p>
          <w:p>
            <w:pPr>
              <w:pStyle w:val="ListBullet"/>
              <w:spacing w:before="0" w:after="0" w:line="240" w:lineRule="exact"/>
            </w:pPr>
            <w:r>
              <w:rPr>
                <w:rFonts w:ascii="Calibri" w:hAnsi="Calibri"/>
                <w:sz w:val="20"/>
              </w:rPr>
              <w:t>(i) their physical and psychosocial wellbeing</w:t>
            </w:r>
          </w:p>
          <w:p>
            <w:pPr>
              <w:pStyle w:val="ListBullet"/>
              <w:spacing w:before="0" w:after="0" w:line="240" w:lineRule="exact"/>
            </w:pPr>
            <w:r>
              <w:rPr>
                <w:rFonts w:ascii="Calibri" w:hAnsi="Calibri"/>
                <w:sz w:val="20"/>
              </w:rPr>
              <w:t>(ii) cognitive development</w:t>
            </w:r>
          </w:p>
          <w:p>
            <w:pPr>
              <w:pStyle w:val="ListBullet"/>
              <w:spacing w:before="0" w:after="0" w:line="240" w:lineRule="exact"/>
            </w:pPr>
            <w:r>
              <w:rPr>
                <w:rFonts w:ascii="Calibri" w:hAnsi="Calibri"/>
                <w:sz w:val="20"/>
              </w:rPr>
              <w:t>(iii) ability to meet their future needs.</w:t>
            </w:r>
          </w:p>
          <w:p>
            <w:pPr>
              <w:spacing w:before="0" w:after="0" w:line="240" w:lineRule="exact"/>
            </w:pPr>
            <w:r>
              <w:rPr>
                <w:rFonts w:ascii="Calibri" w:hAnsi="Calibri"/>
                <w:sz w:val="20"/>
              </w:rPr>
              <w:br/>
              <w:t>The severity of the situation for Education is computed based on 4 dimensions (ALPA):</w:t>
              <w:br/>
              <w:t>1) Access to education</w:t>
              <w:br/>
              <w:t>2) Learning conditions</w:t>
              <w:br/>
              <w:t>3) Protection level in or on the way to school</w:t>
              <w:br/>
              <w:t>4) Aggravating circumstances (at individual level)</w:t>
              <w:br/>
              <w:br/>
              <w:t>The table below recaps some examples of indicators falling under each of these dimensions and the main data sources usually available in countries where clusters are activated. The list is not exhaustive, and other indicators deemed appropriate at country level can be used.</w:t>
            </w:r>
          </w:p>
          <w:p>
            <w:r>
              <w:rPr>
                <w:rFonts w:ascii="Calibri" w:hAnsi="Calibri"/>
                <w:sz w:val="20"/>
              </w:rPr>
              <w:drawing>
                <wp:inline xmlns:a="http://schemas.openxmlformats.org/drawingml/2006/main" xmlns:pic="http://schemas.openxmlformats.org/drawingml/2006/picture">
                  <wp:extent cx="5486400" cy="2331720"/>
                  <wp:docPr id="1" name="Picture 1"/>
                  <wp:cNvGraphicFramePr>
                    <a:graphicFrameLocks noChangeAspect="1"/>
                  </wp:cNvGraphicFramePr>
                  <a:graphic>
                    <a:graphicData uri="http://schemas.openxmlformats.org/drawingml/2006/picture">
                      <pic:pic>
                        <pic:nvPicPr>
                          <pic:cNvPr id="0" name="pin_table.jpg"/>
                          <pic:cNvPicPr/>
                        </pic:nvPicPr>
                        <pic:blipFill>
                          <a:blip r:embed="rId9"/>
                          <a:stretch>
                            <a:fillRect/>
                          </a:stretch>
                        </pic:blipFill>
                        <pic:spPr>
                          <a:xfrm>
                            <a:off x="0" y="0"/>
                            <a:ext cx="5486400" cy="2331720"/>
                          </a:xfrm>
                          <a:prstGeom prst="rect"/>
                        </pic:spPr>
                      </pic:pic>
                    </a:graphicData>
                  </a:graphic>
                </wp:inline>
              </w:drawing>
            </w:r>
          </w:p>
        </w:tc>
      </w:tr>
    </w:tbl>
    <w:p>
      <w:r>
        <w:br w:type="page"/>
      </w:r>
    </w:p>
    <w:p>
      <w:pPr>
        <w:pStyle w:val="Heading2"/>
        <w:jc w:val="left"/>
      </w:pPr>
      <w:r>
        <w:rPr>
          <w:rFonts w:ascii="Calibri" w:hAnsi="Calibri"/>
          <w:b/>
          <w:sz w:val="40"/>
        </w:rPr>
        <w:t>Children in Need (5-17 y.o.) in Burkina_Faso</w:t>
      </w:r>
    </w:p>
    <w:p/>
    <w:p>
      <w:r>
        <w:rPr>
          <w:rFonts w:ascii="Calibri" w:hAnsi="Calibri"/>
          <w:b/>
          <w:color w:val="569697"/>
          <w:sz w:val="32"/>
        </w:rPr>
        <w:t>34.4% (i.e. 23.6M)</w:t>
      </w:r>
      <w:r>
        <w:rPr>
          <w:rFonts w:ascii="Calibri" w:hAnsi="Calibri"/>
          <w:sz w:val="32"/>
        </w:rPr>
        <w:t xml:space="preserve"> of school-aged children are in need. Among them:</w:t>
      </w:r>
    </w:p>
    <w:p>
      <w:pPr>
        <w:pStyle w:val="ListBullet"/>
        <w:ind w:left="1440"/>
      </w:pPr>
      <w:r>
        <w:rPr>
          <w:rFonts w:ascii="Calibri" w:hAnsi="Calibri"/>
          <w:sz w:val="32"/>
        </w:rPr>
        <w:t>10.4M are girls and 13.2M are boys;</w:t>
      </w:r>
    </w:p>
    <w:p>
      <w:pPr>
        <w:pStyle w:val="ListBullet"/>
        <w:ind w:left="1440"/>
      </w:pPr>
      <w:r>
        <w:rPr>
          <w:rFonts w:ascii="Calibri" w:hAnsi="Calibri"/>
          <w:sz w:val="32"/>
        </w:rPr>
        <w:t>2.4M are 5 years old (ECE);</w:t>
      </w:r>
    </w:p>
    <w:p>
      <w:pPr>
        <w:pStyle w:val="ListBullet"/>
        <w:ind w:left="1440"/>
      </w:pPr>
      <w:r>
        <w:rPr>
          <w:rFonts w:ascii="Calibri" w:hAnsi="Calibri"/>
          <w:sz w:val="32"/>
        </w:rPr>
        <w:t>21.2M are between 6 and 17 years old;</w:t>
      </w:r>
    </w:p>
    <w:p>
      <w:pPr>
        <w:pStyle w:val="ListBullet"/>
        <w:ind w:left="1440"/>
      </w:pPr>
      <w:r>
        <w:rPr>
          <w:rFonts w:ascii="Calibri" w:hAnsi="Calibri"/>
          <w:sz w:val="32"/>
        </w:rPr>
        <w:t>2.4M are children with disability.</w:t>
      </w:r>
    </w:p>
    <w:p/>
    <w:p>
      <w:r>
        <w:rPr>
          <w:rFonts w:ascii="Calibri" w:hAnsi="Calibri"/>
          <w:sz w:val="32"/>
        </w:rPr>
        <w:t>School-aged children in need, according to population groups:</w:t>
      </w:r>
    </w:p>
    <w:tbl>
      <w:tblPr>
        <w:tblStyle w:val="TableGrid"/>
        <w:tblW w:type="auto" w:w="0"/>
        <w:jc w:val="center"/>
        <w:tblLook w:firstColumn="1" w:firstRow="1" w:lastColumn="0" w:lastRow="0" w:noHBand="0" w:noVBand="1" w:val="04A0"/>
      </w:tblPr>
      <w:tblGrid>
        <w:gridCol w:w="4320"/>
        <w:gridCol w:w="4320"/>
      </w:tblGrid>
      <w:tr>
        <w:trPr>
          <w:trHeight w:val="300" w:hRule="exact"/>
          <w:trHeight w:val="300" w:hRule="exact"/>
        </w:trPr>
        <w:tc>
          <w:tcPr>
            <w:tcW w:type="dxa" w:w="4320"/>
            <w:tcW w:w="1000" w:type="dxa"/>
          </w:tcPr>
          <w:p>
            <w:pPr>
              <w:jc w:val="center"/>
            </w:pPr>
            <w:r>
              <w:rPr>
                <w:rFonts w:ascii="Calibri" w:hAnsi="Calibri"/>
                <w:sz w:val="24"/>
              </w:rPr>
              <w:t>Population groups</w:t>
            </w:r>
          </w:p>
        </w:tc>
        <w:tc>
          <w:tcPr>
            <w:tcW w:type="dxa" w:w="4320"/>
            <w:tcW w:w="5000" w:type="dxa"/>
          </w:tcPr>
          <w:p>
            <w:pPr>
              <w:jc w:val="center"/>
            </w:pPr>
            <w:r>
              <w:rPr>
                <w:rFonts w:ascii="Calibri" w:hAnsi="Calibri"/>
                <w:sz w:val="24"/>
              </w:rPr>
              <w:t>Number of school-aged children in need of education</w:t>
            </w:r>
          </w:p>
        </w:tc>
      </w:tr>
      <w:tr>
        <w:trPr>
          <w:trHeight w:val="300" w:hRule="exact"/>
        </w:trPr>
        <w:tc>
          <w:tcPr>
            <w:tcW w:type="dxa" w:w="4320"/>
            <w:tcW w:w="1000" w:type="dxa"/>
          </w:tcPr>
          <w:p>
            <w:pPr>
              <w:jc w:val="center"/>
            </w:pPr>
            <w:r>
              <w:rPr>
                <w:rFonts w:ascii="Calibri" w:hAnsi="Calibri"/>
                <w:sz w:val="24"/>
              </w:rPr>
              <w:t>NON_PDI</w:t>
            </w:r>
          </w:p>
        </w:tc>
        <w:tc>
          <w:tcPr>
            <w:tcW w:type="dxa" w:w="4320"/>
            <w:tcW w:w="5000" w:type="dxa"/>
          </w:tcPr>
          <w:p>
            <w:pPr>
              <w:jc w:val="center"/>
            </w:pPr>
            <w:r>
              <w:rPr>
                <w:rFonts w:ascii="Calibri" w:hAnsi="Calibri"/>
                <w:sz w:val="24"/>
              </w:rPr>
              <w:t>12.5M</w:t>
            </w:r>
          </w:p>
        </w:tc>
      </w:tr>
      <w:tr>
        <w:trPr>
          <w:trHeight w:val="300" w:hRule="exact"/>
        </w:trPr>
        <w:tc>
          <w:tcPr>
            <w:tcW w:type="dxa" w:w="4320"/>
            <w:tcW w:w="1000" w:type="dxa"/>
          </w:tcPr>
          <w:p>
            <w:pPr>
              <w:jc w:val="center"/>
            </w:pPr>
            <w:r>
              <w:rPr>
                <w:rFonts w:ascii="Calibri" w:hAnsi="Calibri"/>
                <w:sz w:val="24"/>
              </w:rPr>
              <w:t>PDI</w:t>
            </w:r>
          </w:p>
        </w:tc>
        <w:tc>
          <w:tcPr>
            <w:tcW w:type="dxa" w:w="4320"/>
            <w:tcW w:w="5000" w:type="dxa"/>
          </w:tcPr>
          <w:p>
            <w:pPr>
              <w:jc w:val="center"/>
            </w:pPr>
            <w:r>
              <w:rPr>
                <w:rFonts w:ascii="Calibri" w:hAnsi="Calibri"/>
                <w:sz w:val="24"/>
              </w:rPr>
              <w:t>11.1M</w:t>
            </w:r>
          </w:p>
        </w:tc>
      </w:tr>
      <w:tr>
        <w:trPr>
          <w:trHeight w:val="300" w:hRule="exact"/>
        </w:trPr>
        <w:tc>
          <w:tcPr>
            <w:tcW w:type="dxa" w:w="4320"/>
            <w:tcW w:w="1000" w:type="dxa"/>
          </w:tcPr>
          <w:p>
            <w:pPr>
              <w:jc w:val="center"/>
            </w:pPr>
            <w:r>
              <w:rPr>
                <w:rFonts w:ascii="Calibri" w:hAnsi="Calibri"/>
                <w:sz w:val="24"/>
              </w:rPr>
              <w:t>TOTAL</w:t>
            </w:r>
          </w:p>
        </w:tc>
        <w:tc>
          <w:tcPr>
            <w:tcW w:type="dxa" w:w="4320"/>
            <w:tcW w:w="5000" w:type="dxa"/>
          </w:tcPr>
          <w:p>
            <w:pPr>
              <w:jc w:val="center"/>
            </w:pPr>
            <w:r>
              <w:rPr>
                <w:rFonts w:ascii="Calibri" w:hAnsi="Calibri"/>
                <w:sz w:val="24"/>
              </w:rPr>
              <w:t>23.6M</w:t>
            </w:r>
          </w:p>
        </w:tc>
      </w:tr>
    </w:tbl>
    <w:p/>
    <w:p>
      <w:r>
        <w:rPr>
          <w:rFonts w:ascii="Calibri" w:hAnsi="Calibri"/>
          <w:sz w:val="32"/>
        </w:rPr>
        <w:t>Additionally, X of adults (teachers/educational staff) are in need of education assistance.</w:t>
      </w:r>
    </w:p>
    <w:p>
      <w:pPr>
        <w:pStyle w:val="Heading3"/>
      </w:pPr>
      <w:r>
        <w:rPr>
          <w:rFonts w:ascii="Calibri" w:hAnsi="Calibri"/>
          <w:sz w:val="36"/>
        </w:rPr>
        <w:t>School-aged children severity distribution</w:t>
      </w:r>
    </w:p>
    <w:p/>
    <w:tbl>
      <w:tblPr>
        <w:tblW w:type="auto" w:w="0"/>
        <w:tblLook w:firstColumn="1" w:firstRow="1" w:lastColumn="0" w:lastRow="0" w:noHBand="0" w:noVBand="1" w:val="04A0"/>
      </w:tblPr>
      <w:tblGrid>
        <w:gridCol w:w="2160"/>
        <w:gridCol w:w="1008"/>
        <w:gridCol w:w="1008"/>
        <w:gridCol w:w="1008"/>
        <w:gridCol w:w="1008"/>
        <w:gridCol w:w="1008"/>
        <w:gridCol w:w="1008"/>
        <w:gridCol w:w="1008"/>
        <w:gridCol w:w="1008"/>
      </w:tblGrid>
      <w:tr>
        <w:trPr>
          <w:trHeight w:val="300" w:hRule="exact"/>
        </w:trPr>
        <w:tc>
          <w:tcPr>
            <w:tcW w:type="dxa" w:w="960"/>
            <w:vAlign w:val="center"/>
          </w:tcPr>
          <w:p>
            <w:pPr>
              <w:jc w:val="center"/>
            </w:pPr>
          </w:p>
        </w:tc>
        <w:tc>
          <w:tcPr>
            <w:tcW w:type="dxa" w:w="960"/>
            <w:vAlign w:val="center"/>
          </w:tcPr>
          <w:p>
            <w:pPr>
              <w:jc w:val="center"/>
            </w:pPr>
          </w:p>
        </w:tc>
        <w:tc>
          <w:tcPr>
            <w:tcW w:type="dxa" w:w="960"/>
            <w:vAlign w:val="center"/>
          </w:tcPr>
          <w:p>
            <w:pPr>
              <w:jc w:val="center"/>
            </w:pPr>
          </w:p>
        </w:tc>
        <w:tc>
          <w:tcPr>
            <w:tcW w:type="dxa" w:w="5760"/>
            <w:gridSpan w:val="6"/>
            <w:vAlign w:val="center"/>
            <w:shd w:fill="#ED7D31"/>
            <w:shd w:fill="#ED7D31"/>
            <w:vAlign w:val="center"/>
            <w:vAlign w:val="center"/>
            <w:vAlign w:val="center"/>
            <w:vAlign w:val="center"/>
            <w:vAlign w:val="center"/>
            <w:vAlign w:val="center"/>
          </w:tcPr>
          <w:p>
            <w:pPr>
              <w:jc w:val="center"/>
            </w:pPr>
            <w:r>
              <w:rPr>
                <w:rFonts w:ascii="Calibri" w:hAnsi="Calibri"/>
                <w:b w:val="0"/>
                <w:sz w:val="24"/>
              </w:rPr>
              <w:t>School-aged children PiN</w:t>
            </w:r>
          </w:p>
        </w:tc>
      </w:tr>
      <w:tr>
        <w:trPr>
          <w:trHeight w:val="300" w:hRule="exact"/>
        </w:trPr>
        <w:tc>
          <w:tcPr>
            <w:tcW w:type="dxa" w:w="960"/>
            <w:vAlign w:val="center"/>
            <w:vAlign w:val="center"/>
          </w:tcPr>
          <w:p>
            <w:pPr>
              <w:jc w:val="center"/>
            </w:pPr>
            <w:r>
              <w:rPr>
                <w:rFonts w:ascii="Calibri" w:hAnsi="Calibri"/>
                <w:b w:val="0"/>
                <w:sz w:val="24"/>
              </w:rPr>
              <w:t>ToT #</w:t>
            </w:r>
          </w:p>
        </w:tc>
        <w:tc>
          <w:tcPr>
            <w:tcW w:type="dxa" w:w="1920"/>
            <w:gridSpan w:val="2"/>
            <w:vAlign w:val="center"/>
            <w:shd w:fill="#ebecc7"/>
            <w:shd w:fill="#ebecc7"/>
            <w:vAlign w:val="center"/>
            <w:vAlign w:val="center"/>
          </w:tcPr>
          <w:p>
            <w:pPr>
              <w:jc w:val="center"/>
            </w:pPr>
            <w:r>
              <w:rPr>
                <w:rFonts w:ascii="Calibri" w:hAnsi="Calibri"/>
                <w:b w:val="0"/>
                <w:sz w:val="24"/>
              </w:rPr>
              <w:t>Severity levels 1-2</w:t>
            </w:r>
          </w:p>
        </w:tc>
        <w:tc>
          <w:tcPr>
            <w:tcW w:type="dxa" w:w="1920"/>
            <w:gridSpan w:val="2"/>
            <w:vAlign w:val="center"/>
            <w:shd w:fill="#c7d9ec"/>
            <w:shd w:fill="#c7d9ec"/>
            <w:vAlign w:val="center"/>
            <w:vAlign w:val="center"/>
          </w:tcPr>
          <w:p>
            <w:pPr>
              <w:jc w:val="center"/>
            </w:pPr>
            <w:r>
              <w:rPr>
                <w:rFonts w:ascii="Calibri" w:hAnsi="Calibri"/>
                <w:b w:val="0"/>
                <w:sz w:val="24"/>
              </w:rPr>
              <w:t>Severity level 3</w:t>
            </w:r>
          </w:p>
        </w:tc>
        <w:tc>
          <w:tcPr>
            <w:tcW w:type="dxa" w:w="1920"/>
            <w:gridSpan w:val="2"/>
            <w:vAlign w:val="center"/>
            <w:shd w:fill="#c7ecdb"/>
            <w:shd w:fill="#c7ecdb"/>
            <w:vAlign w:val="center"/>
            <w:vAlign w:val="center"/>
          </w:tcPr>
          <w:p>
            <w:pPr>
              <w:jc w:val="center"/>
            </w:pPr>
            <w:r>
              <w:rPr>
                <w:rFonts w:ascii="Calibri" w:hAnsi="Calibri"/>
                <w:b w:val="0"/>
                <w:sz w:val="24"/>
              </w:rPr>
              <w:t>Severity level 4</w:t>
            </w:r>
          </w:p>
        </w:tc>
        <w:tc>
          <w:tcPr>
            <w:tcW w:type="dxa" w:w="1920"/>
            <w:gridSpan w:val="2"/>
            <w:vAlign w:val="center"/>
            <w:shd w:fill="#b3d3d4"/>
            <w:shd w:fill="#b3d3d4"/>
            <w:vAlign w:val="center"/>
            <w:vAlign w:val="center"/>
          </w:tcPr>
          <w:p>
            <w:pPr>
              <w:jc w:val="center"/>
            </w:pPr>
            <w:r>
              <w:rPr>
                <w:rFonts w:ascii="Calibri" w:hAnsi="Calibri"/>
                <w:b w:val="0"/>
                <w:sz w:val="24"/>
              </w:rPr>
              <w:t>Severity level 5</w:t>
            </w:r>
          </w:p>
        </w:tc>
      </w:tr>
      <w:tr>
        <w:trPr>
          <w:trHeight w:val="300" w:hRule="exact"/>
        </w:trPr>
        <w:tc>
          <w:tcPr>
            <w:tcW w:type="dxa" w:w="960"/>
            <w:vAlign w:val="center"/>
          </w:tcPr>
          <w:p>
            <w:pPr>
              <w:jc w:val="center"/>
            </w:pPr>
          </w:p>
        </w:tc>
        <w:tc>
          <w:tcPr>
            <w:tcW w:type="dxa" w:w="960"/>
            <w:shd w:fill="#ebecc7"/>
            <w:vAlign w:val="center"/>
          </w:tcPr>
          <w:p>
            <w:pPr>
              <w:jc w:val="center"/>
            </w:pPr>
            <w:r>
              <w:t>%</w:t>
            </w:r>
          </w:p>
        </w:tc>
        <w:tc>
          <w:tcPr>
            <w:tcW w:type="dxa" w:w="960"/>
            <w:shd w:fill="#ebecc7"/>
            <w:vAlign w:val="center"/>
          </w:tcPr>
          <w:p>
            <w:pPr>
              <w:jc w:val="center"/>
            </w:pPr>
            <w:r>
              <w:t>#</w:t>
            </w:r>
          </w:p>
        </w:tc>
        <w:tc>
          <w:tcPr>
            <w:tcW w:type="dxa" w:w="960"/>
            <w:shd w:fill="#c7d9ec"/>
            <w:vAlign w:val="center"/>
          </w:tcPr>
          <w:p>
            <w:pPr>
              <w:jc w:val="center"/>
            </w:pPr>
            <w:r>
              <w:t>%</w:t>
            </w:r>
          </w:p>
        </w:tc>
        <w:tc>
          <w:tcPr>
            <w:tcW w:type="dxa" w:w="960"/>
            <w:shd w:fill="#c7d9ec"/>
            <w:vAlign w:val="center"/>
          </w:tcPr>
          <w:p>
            <w:pPr>
              <w:jc w:val="center"/>
            </w:pPr>
            <w:r>
              <w:t>#</w:t>
            </w:r>
          </w:p>
        </w:tc>
        <w:tc>
          <w:tcPr>
            <w:tcW w:type="dxa" w:w="960"/>
            <w:shd w:fill="#c7ecdb"/>
            <w:vAlign w:val="center"/>
          </w:tcPr>
          <w:p>
            <w:pPr>
              <w:jc w:val="center"/>
            </w:pPr>
            <w:r>
              <w:t>%</w:t>
            </w:r>
          </w:p>
        </w:tc>
        <w:tc>
          <w:tcPr>
            <w:tcW w:type="dxa" w:w="960"/>
            <w:shd w:fill="#c7ecdb"/>
            <w:vAlign w:val="center"/>
          </w:tcPr>
          <w:p>
            <w:pPr>
              <w:jc w:val="center"/>
            </w:pPr>
            <w:r>
              <w:t>#</w:t>
            </w:r>
          </w:p>
        </w:tc>
        <w:tc>
          <w:tcPr>
            <w:tcW w:type="dxa" w:w="960"/>
            <w:shd w:fill="#b3d3d4"/>
            <w:vAlign w:val="center"/>
          </w:tcPr>
          <w:p>
            <w:pPr>
              <w:jc w:val="center"/>
            </w:pPr>
            <w:r>
              <w:t>%</w:t>
            </w:r>
          </w:p>
        </w:tc>
        <w:tc>
          <w:tcPr>
            <w:tcW w:type="dxa" w:w="960"/>
            <w:shd w:fill="#b3d3d4"/>
            <w:vAlign w:val="center"/>
          </w:tcPr>
          <w:p>
            <w:pPr>
              <w:jc w:val="center"/>
            </w:pPr>
            <w:r>
              <w:t>#</w:t>
            </w:r>
          </w:p>
        </w:tc>
      </w:tr>
      <w:tr>
        <w:trPr>
          <w:trHeight w:val="300" w:hRule="exact"/>
        </w:trPr>
        <w:tc>
          <w:tcPr>
            <w:tcW w:type="dxa" w:w="960"/>
            <w:vAlign w:val="center"/>
          </w:tcPr>
          <w:p>
            <w:pPr>
              <w:jc w:val="center"/>
            </w:pPr>
            <w:r>
              <w:t>68.7M</w:t>
            </w:r>
          </w:p>
        </w:tc>
        <w:tc>
          <w:tcPr>
            <w:tcW w:type="dxa" w:w="960"/>
            <w:shd w:fill="#ebecc7"/>
            <w:vAlign w:val="center"/>
          </w:tcPr>
          <w:p>
            <w:pPr>
              <w:jc w:val="center"/>
            </w:pPr>
            <w:r>
              <w:t>65.6</w:t>
            </w:r>
          </w:p>
        </w:tc>
        <w:tc>
          <w:tcPr>
            <w:tcW w:type="dxa" w:w="960"/>
            <w:shd w:fill="#ebecc7"/>
            <w:vAlign w:val="center"/>
          </w:tcPr>
          <w:p>
            <w:pPr>
              <w:jc w:val="center"/>
            </w:pPr>
            <w:r>
              <w:t>45.1M</w:t>
            </w:r>
          </w:p>
        </w:tc>
        <w:tc>
          <w:tcPr>
            <w:tcW w:type="dxa" w:w="960"/>
            <w:shd w:fill="#c7d9ec"/>
            <w:vAlign w:val="center"/>
          </w:tcPr>
          <w:p>
            <w:pPr>
              <w:jc w:val="center"/>
            </w:pPr>
            <w:r>
              <w:t>33.4</w:t>
            </w:r>
          </w:p>
        </w:tc>
        <w:tc>
          <w:tcPr>
            <w:tcW w:type="dxa" w:w="960"/>
            <w:shd w:fill="#c7d9ec"/>
            <w:vAlign w:val="center"/>
          </w:tcPr>
          <w:p>
            <w:pPr>
              <w:jc w:val="center"/>
            </w:pPr>
            <w:r>
              <w:t>22.9M</w:t>
            </w:r>
          </w:p>
        </w:tc>
        <w:tc>
          <w:tcPr>
            <w:tcW w:type="dxa" w:w="960"/>
            <w:shd w:fill="#c7ecdb"/>
            <w:vAlign w:val="center"/>
          </w:tcPr>
          <w:p>
            <w:pPr>
              <w:jc w:val="center"/>
            </w:pPr>
            <w:r>
              <w:t>1.0</w:t>
            </w:r>
          </w:p>
        </w:tc>
        <w:tc>
          <w:tcPr>
            <w:tcW w:type="dxa" w:w="960"/>
            <w:shd w:fill="#c7ecdb"/>
            <w:vAlign w:val="center"/>
          </w:tcPr>
          <w:p>
            <w:pPr>
              <w:jc w:val="center"/>
            </w:pPr>
            <w:r>
              <w:t>666K</w:t>
            </w:r>
          </w:p>
        </w:tc>
        <w:tc>
          <w:tcPr>
            <w:tcW w:type="dxa" w:w="960"/>
            <w:shd w:fill="#b3d3d4"/>
            <w:vAlign w:val="center"/>
          </w:tcPr>
          <w:p>
            <w:pPr>
              <w:jc w:val="center"/>
            </w:pPr>
            <w:r>
              <w:t>0.0</w:t>
            </w:r>
          </w:p>
        </w:tc>
        <w:tc>
          <w:tcPr>
            <w:tcW w:type="dxa" w:w="960"/>
            <w:shd w:fill="#b3d3d4"/>
            <w:vAlign w:val="center"/>
          </w:tcPr>
          <w:p>
            <w:pPr>
              <w:jc w:val="center"/>
            </w:pPr>
            <w:r>
              <w:t>8K</w:t>
            </w:r>
          </w:p>
        </w:tc>
      </w:tr>
    </w:tbl>
    <w:p>
      <w:pPr>
        <w:pStyle w:val="Heading3"/>
      </w:pPr>
      <w:r>
        <w:rPr>
          <w:rFonts w:ascii="Calibri" w:hAnsi="Calibri"/>
          <w:sz w:val="36"/>
        </w:rPr>
        <w:t>Unpacking levels of severity for each population group</w:t>
      </w:r>
    </w:p>
    <w:p>
      <w:r>
        <w:drawing>
          <wp:inline xmlns:a="http://schemas.openxmlformats.org/drawingml/2006/main" xmlns:pic="http://schemas.openxmlformats.org/drawingml/2006/picture">
            <wp:extent cx="5486400" cy="2800893"/>
            <wp:docPr id="2" name="Picture 2"/>
            <wp:cNvGraphicFramePr>
              <a:graphicFrameLocks noChangeAspect="1"/>
            </wp:cNvGraphicFramePr>
            <a:graphic>
              <a:graphicData uri="http://schemas.openxmlformats.org/drawingml/2006/picture">
                <pic:pic>
                  <pic:nvPicPr>
                    <pic:cNvPr id="0" name="stacked_bar_chart_large_legend.jpeg"/>
                    <pic:cNvPicPr/>
                  </pic:nvPicPr>
                  <pic:blipFill>
                    <a:blip r:embed="rId10"/>
                    <a:stretch>
                      <a:fillRect/>
                    </a:stretch>
                  </pic:blipFill>
                  <pic:spPr>
                    <a:xfrm>
                      <a:off x="0" y="0"/>
                      <a:ext cx="5486400" cy="2800893"/>
                    </a:xfrm>
                    <a:prstGeom prst="rect"/>
                  </pic:spPr>
                </pic:pic>
              </a:graphicData>
            </a:graphic>
          </wp:inline>
        </w:drawing>
      </w:r>
    </w:p>
    <w:p>
      <w:pPr>
        <w:pStyle w:val="Heading3"/>
      </w:pPr>
      <w:r>
        <w:rPr>
          <w:rFonts w:ascii="Calibri" w:hAnsi="Calibri"/>
          <w:sz w:val="36"/>
        </w:rPr>
        <w:t>Unpacking children needs</w:t>
      </w:r>
    </w:p>
    <w:p>
      <w:r>
        <w:rPr>
          <w:rFonts w:ascii="Calibri" w:hAnsi="Calibri"/>
          <w:sz w:val="32"/>
        </w:rPr>
        <w:t>What is driving the severity of children in needs?</w:t>
      </w:r>
    </w:p>
    <w:p>
      <w:r>
        <w:rPr>
          <w:rFonts w:ascii="Calibri" w:hAnsi="Calibri"/>
          <w:sz w:val="24"/>
        </w:rPr>
        <w:t>Children in need are categorized based on four key dimensions of the Education People in Need (PiN) framework: Access to education, Learning conditions, Protection level in or on the way to school, and Aggravating circumstances. These dimensions determine their severity level:</w:t>
      </w:r>
    </w:p>
    <w:p>
      <w:pPr>
        <w:pStyle w:val="ListBullet"/>
      </w:pPr>
      <w:r>
        <w:rPr>
          <w:rFonts w:ascii="Calibri" w:hAnsi="Calibri"/>
          <w:sz w:val="24"/>
        </w:rPr>
        <w:t>Lack of access to school: This applies to children who fall into severity 3 and are not accessing school at all.</w:t>
      </w:r>
    </w:p>
    <w:p>
      <w:pPr>
        <w:pStyle w:val="ListBullet"/>
      </w:pPr>
      <w:r>
        <w:rPr>
          <w:rFonts w:ascii="Calibri" w:hAnsi="Calibri"/>
          <w:sz w:val="24"/>
        </w:rPr>
        <w:t>Studying in unacceptable basic learning conditions: These children are assigned to severity 3, but they do have access to school. However, the quality of their learning environment is extremely poor and inadequate.</w:t>
      </w:r>
    </w:p>
    <w:p>
      <w:pPr>
        <w:pStyle w:val="ListBullet"/>
      </w:pPr>
      <w:r>
        <w:rPr>
          <w:rFonts w:ascii="Calibri" w:hAnsi="Calibri"/>
          <w:sz w:val="24"/>
        </w:rPr>
        <w:t>Evolve in a non-protective education environment: Children assigned to severity 4 who are attending school but in an environment that does not ensure their safety or protection.</w:t>
      </w:r>
    </w:p>
    <w:p>
      <w:pPr>
        <w:pStyle w:val="ListBullet"/>
      </w:pPr>
      <w:r>
        <w:rPr>
          <w:rFonts w:ascii="Calibri" w:hAnsi="Calibri"/>
          <w:sz w:val="24"/>
        </w:rPr>
        <w:t>Face aggravating circumstances preventing their access to education: Children assigned to either severity 4 or 5, where external factors significantly affect their ability to attend school, leading to a lack of access to education.</w:t>
      </w:r>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22"/>
              </w:rPr>
              <w:t>Among all children in need (23.6M):</w:t>
            </w:r>
          </w:p>
        </w:tc>
        <w:tc>
          <w:tcPr>
            <w:tcW w:type="dxa" w:w="2880"/>
            <w:tcW w:w="700" w:type="dxa"/>
          </w:tcPr>
          <w:p>
            <w:pPr>
              <w:jc w:val="center"/>
            </w:pPr>
            <w:r>
              <w:rPr>
                <w:rFonts w:ascii="Calibri" w:hAnsi="Calibri"/>
                <w:sz w:val="22"/>
              </w:rPr>
              <w:t>%</w:t>
            </w:r>
          </w:p>
        </w:tc>
        <w:tc>
          <w:tcPr>
            <w:tcW w:type="dxa" w:w="2880"/>
            <w:tcW w:w="700" w:type="dxa"/>
          </w:tcPr>
          <w:p>
            <w:pPr>
              <w:jc w:val="center"/>
            </w:pPr>
            <w:r>
              <w:rPr>
                <w:rFonts w:ascii="Calibri" w:hAnsi="Calibri"/>
                <w:sz w:val="22"/>
              </w:rPr>
              <w:t>#</w:t>
            </w:r>
          </w:p>
        </w:tc>
      </w:tr>
      <w:tr>
        <w:trPr>
          <w:trHeight w:val="250" w:hRule="exact"/>
        </w:trPr>
        <w:tc>
          <w:tcPr>
            <w:tcW w:type="dxa" w:w="2880"/>
            <w:tcW w:w="6000" w:type="dxa"/>
          </w:tcPr>
          <w:p>
            <w:pPr>
              <w:jc w:val="left"/>
            </w:pPr>
            <w:r>
              <w:rPr>
                <w:rFonts w:ascii="Calibri" w:hAnsi="Calibri"/>
                <w:sz w:val="22"/>
              </w:rPr>
              <w:t>Lack access to school</w:t>
            </w:r>
          </w:p>
        </w:tc>
        <w:tc>
          <w:tcPr>
            <w:tcW w:type="dxa" w:w="2880"/>
            <w:tcW w:w="700" w:type="dxa"/>
            <w:shd w:fill="#f4a582"/>
          </w:tcPr>
          <w:p>
            <w:pPr>
              <w:jc w:val="center"/>
            </w:pPr>
            <w:r>
              <w:rPr>
                <w:rFonts w:ascii="Calibri" w:hAnsi="Calibri"/>
                <w:sz w:val="22"/>
              </w:rPr>
              <w:t>95.9%</w:t>
            </w:r>
          </w:p>
        </w:tc>
        <w:tc>
          <w:tcPr>
            <w:tcW w:type="dxa" w:w="2880"/>
            <w:tcW w:w="700" w:type="dxa"/>
            <w:shd w:fill="#f4a582"/>
          </w:tcPr>
          <w:p>
            <w:pPr>
              <w:jc w:val="center"/>
            </w:pPr>
            <w:r>
              <w:rPr>
                <w:rFonts w:ascii="Calibri" w:hAnsi="Calibri"/>
                <w:sz w:val="22"/>
              </w:rPr>
              <w:t>22.6M</w:t>
            </w:r>
          </w:p>
        </w:tc>
      </w:tr>
      <w:tr>
        <w:trPr>
          <w:trHeight w:val="250" w:hRule="exact"/>
        </w:trPr>
        <w:tc>
          <w:tcPr>
            <w:tcW w:type="dxa" w:w="2880"/>
            <w:tcW w:w="6000" w:type="dxa"/>
          </w:tcPr>
          <w:p>
            <w:pPr>
              <w:jc w:val="left"/>
            </w:pPr>
            <w:r>
              <w:rPr>
                <w:rFonts w:ascii="Calibri" w:hAnsi="Calibri"/>
                <w:sz w:val="22"/>
              </w:rPr>
              <w:t>Study in unacceptable basic learning conditions</w:t>
            </w:r>
          </w:p>
        </w:tc>
        <w:tc>
          <w:tcPr>
            <w:tcW w:type="dxa" w:w="2880"/>
            <w:tcW w:w="700" w:type="dxa"/>
            <w:shd w:fill="#fee8c8"/>
          </w:tcPr>
          <w:p>
            <w:pPr>
              <w:jc w:val="center"/>
            </w:pPr>
            <w:r>
              <w:rPr>
                <w:rFonts w:ascii="Calibri" w:hAnsi="Calibri"/>
                <w:sz w:val="22"/>
              </w:rPr>
              <w:t>1.2%</w:t>
            </w:r>
          </w:p>
        </w:tc>
        <w:tc>
          <w:tcPr>
            <w:tcW w:type="dxa" w:w="2880"/>
            <w:tcW w:w="700" w:type="dxa"/>
            <w:shd w:fill="#fee8c8"/>
          </w:tcPr>
          <w:p>
            <w:pPr>
              <w:jc w:val="center"/>
            </w:pPr>
            <w:r>
              <w:rPr>
                <w:rFonts w:ascii="Calibri" w:hAnsi="Calibri"/>
                <w:sz w:val="22"/>
              </w:rPr>
              <w:t>286K</w:t>
            </w:r>
          </w:p>
        </w:tc>
      </w:tr>
      <w:tr>
        <w:trPr>
          <w:trHeight w:val="250" w:hRule="exact"/>
        </w:trPr>
        <w:tc>
          <w:tcPr>
            <w:tcW w:type="dxa" w:w="2880"/>
            <w:tcW w:w="6000" w:type="dxa"/>
          </w:tcPr>
          <w:p>
            <w:pPr>
              <w:jc w:val="left"/>
            </w:pPr>
            <w:r>
              <w:rPr>
                <w:rFonts w:ascii="Calibri" w:hAnsi="Calibri"/>
                <w:sz w:val="22"/>
              </w:rPr>
              <w:t>Evolve in a non-protective education environment</w:t>
            </w:r>
          </w:p>
        </w:tc>
        <w:tc>
          <w:tcPr>
            <w:tcW w:type="dxa" w:w="2880"/>
            <w:tcW w:w="700" w:type="dxa"/>
            <w:shd w:fill="#fddbc7"/>
          </w:tcPr>
          <w:p>
            <w:pPr>
              <w:jc w:val="center"/>
            </w:pPr>
            <w:r>
              <w:rPr>
                <w:rFonts w:ascii="Calibri" w:hAnsi="Calibri"/>
                <w:sz w:val="22"/>
              </w:rPr>
              <w:t>2.5%</w:t>
            </w:r>
          </w:p>
        </w:tc>
        <w:tc>
          <w:tcPr>
            <w:tcW w:type="dxa" w:w="2880"/>
            <w:tcW w:w="700" w:type="dxa"/>
            <w:shd w:fill="#fddbc7"/>
          </w:tcPr>
          <w:p>
            <w:pPr>
              <w:jc w:val="center"/>
            </w:pPr>
            <w:r>
              <w:rPr>
                <w:rFonts w:ascii="Calibri" w:hAnsi="Calibri"/>
                <w:sz w:val="22"/>
              </w:rPr>
              <w:t>598K</w:t>
            </w:r>
          </w:p>
        </w:tc>
      </w:tr>
      <w:tr>
        <w:trPr>
          <w:trHeight w:val="250" w:hRule="exact"/>
        </w:trPr>
        <w:tc>
          <w:tcPr>
            <w:tcW w:type="dxa" w:w="2880"/>
            <w:tcW w:w="6000" w:type="dxa"/>
          </w:tcPr>
          <w:p>
            <w:pPr>
              <w:jc w:val="left"/>
            </w:pPr>
            <w:r>
              <w:rPr>
                <w:rFonts w:ascii="Calibri" w:hAnsi="Calibri"/>
                <w:sz w:val="22"/>
              </w:rPr>
              <w:t>Face aggravating circumstances preventing their access to education</w:t>
            </w:r>
          </w:p>
        </w:tc>
        <w:tc>
          <w:tcPr>
            <w:tcW w:type="dxa" w:w="2880"/>
            <w:tcW w:w="700" w:type="dxa"/>
            <w:shd w:fill="#fff7ec"/>
          </w:tcPr>
          <w:p>
            <w:pPr>
              <w:jc w:val="center"/>
            </w:pPr>
            <w:r>
              <w:rPr>
                <w:rFonts w:ascii="Calibri" w:hAnsi="Calibri"/>
                <w:sz w:val="22"/>
              </w:rPr>
              <w:t>0.3%</w:t>
            </w:r>
          </w:p>
        </w:tc>
        <w:tc>
          <w:tcPr>
            <w:tcW w:type="dxa" w:w="2880"/>
            <w:tcW w:w="700" w:type="dxa"/>
            <w:shd w:fill="#fff7ec"/>
          </w:tcPr>
          <w:p>
            <w:pPr>
              <w:jc w:val="center"/>
            </w:pPr>
            <w:r>
              <w:rPr>
                <w:rFonts w:ascii="Calibri" w:hAnsi="Calibri"/>
                <w:sz w:val="22"/>
              </w:rPr>
              <w:t>75K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NON_PDI children in need (12.5M):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4a582"/>
          </w:tcPr>
          <w:p>
            <w:pPr>
              <w:jc w:val="center"/>
            </w:pPr>
            <w:r>
              <w:rPr>
                <w:rFonts w:ascii="Calibri" w:hAnsi="Calibri"/>
                <w:sz w:val="18"/>
              </w:rPr>
              <w:t>94.4%</w:t>
            </w:r>
          </w:p>
        </w:tc>
        <w:tc>
          <w:tcPr>
            <w:tcW w:type="dxa" w:w="2880"/>
            <w:tcW w:w="700" w:type="dxa"/>
            <w:shd w:fill="#f4a582"/>
          </w:tcPr>
          <w:p>
            <w:pPr>
              <w:jc w:val="center"/>
            </w:pPr>
            <w:r>
              <w:rPr>
                <w:rFonts w:ascii="Calibri" w:hAnsi="Calibri"/>
                <w:sz w:val="18"/>
              </w:rPr>
              <w:t>11.8M</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ee8c8"/>
          </w:tcPr>
          <w:p>
            <w:pPr>
              <w:jc w:val="center"/>
            </w:pPr>
            <w:r>
              <w:rPr>
                <w:rFonts w:ascii="Calibri" w:hAnsi="Calibri"/>
                <w:sz w:val="18"/>
              </w:rPr>
              <w:t>1.8%</w:t>
            </w:r>
          </w:p>
        </w:tc>
        <w:tc>
          <w:tcPr>
            <w:tcW w:type="dxa" w:w="2880"/>
            <w:tcW w:w="700" w:type="dxa"/>
            <w:shd w:fill="#fee8c8"/>
          </w:tcPr>
          <w:p>
            <w:pPr>
              <w:jc w:val="center"/>
            </w:pPr>
            <w:r>
              <w:rPr>
                <w:rFonts w:ascii="Calibri" w:hAnsi="Calibri"/>
                <w:sz w:val="18"/>
              </w:rPr>
              <w:t>227K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ddbc7"/>
          </w:tcPr>
          <w:p>
            <w:pPr>
              <w:jc w:val="center"/>
            </w:pPr>
            <w:r>
              <w:rPr>
                <w:rFonts w:ascii="Calibri" w:hAnsi="Calibri"/>
                <w:sz w:val="18"/>
              </w:rPr>
              <w:t>3.4%</w:t>
            </w:r>
          </w:p>
        </w:tc>
        <w:tc>
          <w:tcPr>
            <w:tcW w:type="dxa" w:w="2880"/>
            <w:tcW w:w="700" w:type="dxa"/>
            <w:shd w:fill="#fddbc7"/>
          </w:tcPr>
          <w:p>
            <w:pPr>
              <w:jc w:val="center"/>
            </w:pPr>
            <w:r>
              <w:rPr>
                <w:rFonts w:ascii="Calibri" w:hAnsi="Calibri"/>
                <w:sz w:val="18"/>
              </w:rPr>
              <w:t>423K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ff7ec"/>
          </w:tcPr>
          <w:p>
            <w:pPr>
              <w:jc w:val="center"/>
            </w:pPr>
            <w:r>
              <w:rPr>
                <w:rFonts w:ascii="Calibri" w:hAnsi="Calibri"/>
                <w:sz w:val="18"/>
              </w:rPr>
              <w:t>0.4%</w:t>
            </w:r>
          </w:p>
        </w:tc>
        <w:tc>
          <w:tcPr>
            <w:tcW w:type="dxa" w:w="2880"/>
            <w:tcW w:w="700" w:type="dxa"/>
            <w:shd w:fill="#fff7ec"/>
          </w:tcPr>
          <w:p>
            <w:pPr>
              <w:jc w:val="center"/>
            </w:pPr>
            <w:r>
              <w:rPr>
                <w:rFonts w:ascii="Calibri" w:hAnsi="Calibri"/>
                <w:sz w:val="18"/>
              </w:rPr>
              <w:t>52K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PDI children in need (11.1M):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4a582"/>
          </w:tcPr>
          <w:p>
            <w:pPr>
              <w:jc w:val="center"/>
            </w:pPr>
            <w:r>
              <w:rPr>
                <w:rFonts w:ascii="Calibri" w:hAnsi="Calibri"/>
                <w:sz w:val="18"/>
              </w:rPr>
              <w:t>97.7%</w:t>
            </w:r>
          </w:p>
        </w:tc>
        <w:tc>
          <w:tcPr>
            <w:tcW w:type="dxa" w:w="2880"/>
            <w:tcW w:w="700" w:type="dxa"/>
            <w:shd w:fill="#f4a582"/>
          </w:tcPr>
          <w:p>
            <w:pPr>
              <w:jc w:val="center"/>
            </w:pPr>
            <w:r>
              <w:rPr>
                <w:rFonts w:ascii="Calibri" w:hAnsi="Calibri"/>
                <w:sz w:val="18"/>
              </w:rPr>
              <w:t>10.8M</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ee8c8"/>
          </w:tcPr>
          <w:p>
            <w:pPr>
              <w:jc w:val="center"/>
            </w:pPr>
            <w:r>
              <w:rPr>
                <w:rFonts w:ascii="Calibri" w:hAnsi="Calibri"/>
                <w:sz w:val="18"/>
              </w:rPr>
              <w:t>0.5%</w:t>
            </w:r>
          </w:p>
        </w:tc>
        <w:tc>
          <w:tcPr>
            <w:tcW w:type="dxa" w:w="2880"/>
            <w:tcW w:w="700" w:type="dxa"/>
            <w:shd w:fill="#fee8c8"/>
          </w:tcPr>
          <w:p>
            <w:pPr>
              <w:jc w:val="center"/>
            </w:pPr>
            <w:r>
              <w:rPr>
                <w:rFonts w:ascii="Calibri" w:hAnsi="Calibri"/>
                <w:sz w:val="18"/>
              </w:rPr>
              <w:t>59K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ddbc7"/>
          </w:tcPr>
          <w:p>
            <w:pPr>
              <w:jc w:val="center"/>
            </w:pPr>
            <w:r>
              <w:rPr>
                <w:rFonts w:ascii="Calibri" w:hAnsi="Calibri"/>
                <w:sz w:val="18"/>
              </w:rPr>
              <w:t>1.6%</w:t>
            </w:r>
          </w:p>
        </w:tc>
        <w:tc>
          <w:tcPr>
            <w:tcW w:type="dxa" w:w="2880"/>
            <w:tcW w:w="700" w:type="dxa"/>
            <w:shd w:fill="#fddbc7"/>
          </w:tcPr>
          <w:p>
            <w:pPr>
              <w:jc w:val="center"/>
            </w:pPr>
            <w:r>
              <w:rPr>
                <w:rFonts w:ascii="Calibri" w:hAnsi="Calibri"/>
                <w:sz w:val="18"/>
              </w:rPr>
              <w:t>175K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ff7ec"/>
          </w:tcPr>
          <w:p>
            <w:pPr>
              <w:jc w:val="center"/>
            </w:pPr>
            <w:r>
              <w:rPr>
                <w:rFonts w:ascii="Calibri" w:hAnsi="Calibri"/>
                <w:sz w:val="18"/>
              </w:rPr>
              <w:t>0.2%</w:t>
            </w:r>
          </w:p>
        </w:tc>
        <w:tc>
          <w:tcPr>
            <w:tcW w:type="dxa" w:w="2880"/>
            <w:tcW w:w="700" w:type="dxa"/>
            <w:shd w:fill="#fff7ec"/>
          </w:tcPr>
          <w:p>
            <w:pPr>
              <w:jc w:val="center"/>
            </w:pPr>
            <w:r>
              <w:rPr>
                <w:rFonts w:ascii="Calibri" w:hAnsi="Calibri"/>
                <w:sz w:val="18"/>
              </w:rPr>
              <w:t>23K</w:t>
            </w:r>
          </w:p>
        </w:tc>
      </w:tr>
    </w:tbl>
    <w:p/>
    <w:p>
      <w:pPr>
        <w:pStyle w:val="Heading3"/>
      </w:pPr>
      <w:r>
        <w:rPr>
          <w:rFonts w:ascii="Calibri" w:hAnsi="Calibri"/>
          <w:sz w:val="36"/>
        </w:rPr>
        <w:t>Children's profiles (from MSNA, HH survey)</w:t>
      </w:r>
    </w:p>
    <w:p>
      <w:r>
        <w:rPr>
          <w:rFonts w:ascii="Calibri" w:hAnsi="Calibri"/>
          <w:sz w:val="24"/>
        </w:rPr>
        <w:t>The graphics below show school-aged children profiles, relying on the 4 dimensions of the education PiN (ALPA, Access to education, Learning conditions, Protection level in or on the way to school and Aggravating circumstances).</w:t>
      </w:r>
    </w:p>
    <w:p>
      <w:r>
        <w:drawing>
          <wp:inline xmlns:a="http://schemas.openxmlformats.org/drawingml/2006/main" xmlns:pic="http://schemas.openxmlformats.org/drawingml/2006/picture">
            <wp:extent cx="4572000" cy="5959239"/>
            <wp:docPr id="3" name="Picture 3"/>
            <wp:cNvGraphicFramePr>
              <a:graphicFrameLocks noChangeAspect="1"/>
            </wp:cNvGraphicFramePr>
            <a:graphic>
              <a:graphicData uri="http://schemas.openxmlformats.org/drawingml/2006/picture">
                <pic:pic>
                  <pic:nvPicPr>
                    <pic:cNvPr id="0" name="snapshot_grouped_horizontal_bar_chart.jpeg"/>
                    <pic:cNvPicPr/>
                  </pic:nvPicPr>
                  <pic:blipFill>
                    <a:blip r:embed="rId11"/>
                    <a:stretch>
                      <a:fillRect/>
                    </a:stretch>
                  </pic:blipFill>
                  <pic:spPr>
                    <a:xfrm>
                      <a:off x="0" y="0"/>
                      <a:ext cx="4572000" cy="5959239"/>
                    </a:xfrm>
                    <a:prstGeom prst="rect"/>
                  </pic:spPr>
                </pic:pic>
              </a:graphicData>
            </a:graphic>
          </wp:inline>
        </w:drawing>
      </w:r>
    </w:p>
    <w:p>
      <w:r>
        <w:drawing>
          <wp:inline xmlns:a="http://schemas.openxmlformats.org/drawingml/2006/main" xmlns:pic="http://schemas.openxmlformats.org/drawingml/2006/picture">
            <wp:extent cx="4572000" cy="2913888"/>
            <wp:docPr id="4" name="Picture 4"/>
            <wp:cNvGraphicFramePr>
              <a:graphicFrameLocks noChangeAspect="1"/>
            </wp:cNvGraphicFramePr>
            <a:graphic>
              <a:graphicData uri="http://schemas.openxmlformats.org/drawingml/2006/picture">
                <pic:pic>
                  <pic:nvPicPr>
                    <pic:cNvPr id="0" name="gender_need.jpeg"/>
                    <pic:cNvPicPr/>
                  </pic:nvPicPr>
                  <pic:blipFill>
                    <a:blip r:embed="rId12"/>
                    <a:stretch>
                      <a:fillRect/>
                    </a:stretch>
                  </pic:blipFill>
                  <pic:spPr>
                    <a:xfrm>
                      <a:off x="0" y="0"/>
                      <a:ext cx="4572000" cy="2913888"/>
                    </a:xfrm>
                    <a:prstGeom prst="rect"/>
                  </pic:spPr>
                </pic:pic>
              </a:graphicData>
            </a:graphic>
          </wp:inline>
        </w:drawing>
      </w:r>
    </w:p>
    <w:p>
      <w:r>
        <w:drawing>
          <wp:inline xmlns:a="http://schemas.openxmlformats.org/drawingml/2006/main" xmlns:pic="http://schemas.openxmlformats.org/drawingml/2006/picture">
            <wp:extent cx="4572000" cy="2913888"/>
            <wp:docPr id="5" name="Picture 5"/>
            <wp:cNvGraphicFramePr>
              <a:graphicFrameLocks noChangeAspect="1"/>
            </wp:cNvGraphicFramePr>
            <a:graphic>
              <a:graphicData uri="http://schemas.openxmlformats.org/drawingml/2006/picture">
                <pic:pic>
                  <pic:nvPicPr>
                    <pic:cNvPr id="0" name="school_need.jpeg"/>
                    <pic:cNvPicPr/>
                  </pic:nvPicPr>
                  <pic:blipFill>
                    <a:blip r:embed="rId13"/>
                    <a:stretch>
                      <a:fillRect/>
                    </a:stretch>
                  </pic:blipFill>
                  <pic:spPr>
                    <a:xfrm>
                      <a:off x="0" y="0"/>
                      <a:ext cx="4572000" cy="2913888"/>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