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Burkina_Faso – L'aperçu du PiN</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Définition du PiN Éducation</w:t>
            </w:r>
            <w:r>
              <w:rPr>
                <w:rFonts w:ascii="Calibri" w:hAnsi="Calibri"/>
                <w:sz w:val="20"/>
              </w:rPr>
              <w:br/>
              <w:t>La définition convenue du PiN Education au niveau global et dans le cadre du JIAF est la suivante:</w:t>
              <w:br/>
              <w:t>Nombre d'enfants en âge scolaire et de jeunes dans les zones touchées par la crise qui n'ont pas accès à une éducation protectrice et à des conditions d'apprentissage acceptables, ce qui peut avoir un impact négatif sur :</w:t>
              <w:br/>
            </w:r>
          </w:p>
          <w:p>
            <w:pPr>
              <w:pStyle w:val="ListBullet"/>
              <w:spacing w:before="0" w:after="0" w:line="240" w:lineRule="exact"/>
            </w:pPr>
            <w:r>
              <w:rPr>
                <w:rFonts w:ascii="Calibri" w:hAnsi="Calibri"/>
                <w:sz w:val="20"/>
              </w:rPr>
              <w:t>(i) leur bien-être physique et psychosocial</w:t>
            </w:r>
          </w:p>
          <w:p>
            <w:pPr>
              <w:pStyle w:val="ListBullet"/>
              <w:spacing w:before="0" w:after="0" w:line="240" w:lineRule="exact"/>
            </w:pPr>
            <w:r>
              <w:rPr>
                <w:rFonts w:ascii="Calibri" w:hAnsi="Calibri"/>
                <w:sz w:val="20"/>
              </w:rPr>
              <w:t>(ii) leur développement cognitif</w:t>
            </w:r>
          </w:p>
          <w:p>
            <w:pPr>
              <w:pStyle w:val="ListBullet"/>
              <w:spacing w:before="0" w:after="0" w:line="240" w:lineRule="exact"/>
            </w:pPr>
            <w:r>
              <w:rPr>
                <w:rFonts w:ascii="Calibri" w:hAnsi="Calibri"/>
                <w:sz w:val="20"/>
              </w:rPr>
              <w:t>(iii) leur capacité à répondre à leurs besoins futurs.</w:t>
            </w:r>
          </w:p>
          <w:p>
            <w:pPr>
              <w:spacing w:before="0" w:after="0" w:line="240" w:lineRule="exact"/>
            </w:pPr>
            <w:r>
              <w:rPr>
                <w:rFonts w:ascii="Calibri" w:hAnsi="Calibri"/>
                <w:sz w:val="20"/>
              </w:rPr>
              <w:br/>
              <w:t xml:space="preserve">La sévérité de la situation pour l’éducation est calculée en fonction de quatre dimensions </w:t>
              <w:br/>
              <w:t>1) Accès à l’éducation</w:t>
              <w:br/>
              <w:t>2) Conditions d’apprentissage</w:t>
              <w:br/>
              <w:t>3) Niveau de protection au sein ou sur le chemin de l’école</w:t>
              <w:br/>
              <w:t>4) Circonstances individuelles (aggravantes)</w:t>
              <w:br/>
              <w:br/>
              <w:t>Le tableau ci-dessous inclut des exemples d’indicateurs pour chacune de ces dimensions et les principales sources de données habituellement disponibles dans les pays où les clusters sont activés. Cette liste n’est pas exhaustive et d’autres indicateurs jugés appropriés au niveau des pays peuvent être utilisés.</w:t>
            </w:r>
          </w:p>
          <w:p>
            <w:r>
              <w:rPr>
                <w:rFonts w:ascii="Calibri" w:hAnsi="Calibri"/>
                <w:sz w:val="20"/>
              </w:rPr>
              <w:drawing>
                <wp:inline xmlns:a="http://schemas.openxmlformats.org/drawingml/2006/main" xmlns:pic="http://schemas.openxmlformats.org/drawingml/2006/picture">
                  <wp:extent cx="5486400" cy="2849178"/>
                  <wp:docPr id="1" name="Picture 1"/>
                  <wp:cNvGraphicFramePr>
                    <a:graphicFrameLocks noChangeAspect="1"/>
                  </wp:cNvGraphicFramePr>
                  <a:graphic>
                    <a:graphicData uri="http://schemas.openxmlformats.org/drawingml/2006/picture">
                      <pic:pic>
                        <pic:nvPicPr>
                          <pic:cNvPr id="0" name="pin_table_FR.png"/>
                          <pic:cNvPicPr/>
                        </pic:nvPicPr>
                        <pic:blipFill>
                          <a:blip r:embed="rId9"/>
                          <a:stretch>
                            <a:fillRect/>
                          </a:stretch>
                        </pic:blipFill>
                        <pic:spPr>
                          <a:xfrm>
                            <a:off x="0" y="0"/>
                            <a:ext cx="5486400" cy="2849178"/>
                          </a:xfrm>
                          <a:prstGeom prst="rect"/>
                        </pic:spPr>
                      </pic:pic>
                    </a:graphicData>
                  </a:graphic>
                </wp:inline>
              </w:drawing>
            </w:r>
          </w:p>
        </w:tc>
      </w:tr>
    </w:tbl>
    <w:p>
      <w:r>
        <w:br w:type="page"/>
      </w:r>
    </w:p>
    <w:p>
      <w:pPr>
        <w:pStyle w:val="Heading2"/>
        <w:jc w:val="left"/>
      </w:pPr>
      <w:r>
        <w:rPr>
          <w:rFonts w:ascii="Calibri" w:hAnsi="Calibri"/>
          <w:b/>
          <w:sz w:val="40"/>
        </w:rPr>
        <w:t>Enfants dans le besoin (âgés de 5 à 17 ans) au Burkina_Faso</w:t>
      </w:r>
    </w:p>
    <w:p/>
    <w:p>
      <w:r>
        <w:rPr>
          <w:rFonts w:ascii="Calibri" w:hAnsi="Calibri"/>
          <w:b/>
          <w:color w:val="569697"/>
          <w:sz w:val="32"/>
        </w:rPr>
        <w:t>34.4% (soit 23.6M)</w:t>
      </w:r>
      <w:r>
        <w:rPr>
          <w:rFonts w:ascii="Calibri" w:hAnsi="Calibri"/>
          <w:sz w:val="32"/>
        </w:rPr>
        <w:t xml:space="preserve"> des enfants en âge scolaire sont dans le besoin. Parmi eux:</w:t>
      </w:r>
    </w:p>
    <w:p>
      <w:pPr>
        <w:pStyle w:val="ListBullet"/>
        <w:ind w:left="1440"/>
      </w:pPr>
      <w:r>
        <w:rPr>
          <w:rFonts w:ascii="Calibri" w:hAnsi="Calibri"/>
          <w:sz w:val="32"/>
        </w:rPr>
        <w:t>10.4M  sont des filles et 13.2M sont des garçons;</w:t>
      </w:r>
    </w:p>
    <w:p>
      <w:pPr>
        <w:pStyle w:val="ListBullet"/>
        <w:ind w:left="1440"/>
      </w:pPr>
      <w:r>
        <w:rPr>
          <w:rFonts w:ascii="Calibri" w:hAnsi="Calibri"/>
          <w:sz w:val="32"/>
        </w:rPr>
        <w:t>2.4M ont 5 ans (petite enfance);</w:t>
      </w:r>
    </w:p>
    <w:p>
      <w:pPr>
        <w:pStyle w:val="ListBullet"/>
        <w:ind w:left="1440"/>
      </w:pPr>
      <w:r>
        <w:rPr>
          <w:rFonts w:ascii="Calibri" w:hAnsi="Calibri"/>
          <w:sz w:val="32"/>
        </w:rPr>
        <w:t>21.2M ont entre 6 et 17 ans ;</w:t>
      </w:r>
    </w:p>
    <w:p>
      <w:pPr>
        <w:pStyle w:val="ListBullet"/>
        <w:ind w:left="1440"/>
      </w:pPr>
      <w:r>
        <w:rPr>
          <w:rFonts w:ascii="Calibri" w:hAnsi="Calibri"/>
          <w:sz w:val="32"/>
        </w:rPr>
        <w:t>2.4M sont des enfants en situation de handicap.</w:t>
      </w:r>
    </w:p>
    <w:p/>
    <w:p>
      <w:r>
        <w:rPr>
          <w:rFonts w:ascii="Calibri" w:hAnsi="Calibri"/>
          <w:sz w:val="32"/>
        </w:rPr>
        <w:t>Enfants en âge scolaire dans le besoin selon les groupes de population:</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Groupes de population</w:t>
            </w:r>
          </w:p>
        </w:tc>
        <w:tc>
          <w:tcPr>
            <w:tcW w:type="dxa" w:w="4320"/>
            <w:tcW w:w="5000" w:type="dxa"/>
          </w:tcPr>
          <w:p>
            <w:pPr>
              <w:jc w:val="center"/>
            </w:pPr>
            <w:r>
              <w:rPr>
                <w:rFonts w:ascii="Calibri" w:hAnsi="Calibri"/>
                <w:sz w:val="24"/>
              </w:rPr>
              <w:t>Nombre d'enfants en âge scolaire dans le besoin d'éducation</w:t>
            </w:r>
          </w:p>
        </w:tc>
      </w:tr>
      <w:tr>
        <w:trPr>
          <w:trHeight w:val="300" w:hRule="exact"/>
        </w:trPr>
        <w:tc>
          <w:tcPr>
            <w:tcW w:type="dxa" w:w="4320"/>
            <w:tcW w:w="1000" w:type="dxa"/>
          </w:tcPr>
          <w:p>
            <w:pPr>
              <w:jc w:val="center"/>
            </w:pPr>
            <w:r>
              <w:rPr>
                <w:rFonts w:ascii="Calibri" w:hAnsi="Calibri"/>
                <w:sz w:val="24"/>
              </w:rPr>
              <w:t>NON_PDI (5-17 Y.O.)</w:t>
            </w:r>
          </w:p>
        </w:tc>
        <w:tc>
          <w:tcPr>
            <w:tcW w:type="dxa" w:w="4320"/>
            <w:tcW w:w="5000" w:type="dxa"/>
          </w:tcPr>
          <w:p>
            <w:pPr>
              <w:jc w:val="center"/>
            </w:pPr>
            <w:r>
              <w:rPr>
                <w:rFonts w:ascii="Calibri" w:hAnsi="Calibri"/>
                <w:sz w:val="24"/>
              </w:rPr>
              <w:t>12.5M</w:t>
            </w:r>
          </w:p>
        </w:tc>
      </w:tr>
      <w:tr>
        <w:trPr>
          <w:trHeight w:val="300" w:hRule="exact"/>
        </w:trPr>
        <w:tc>
          <w:tcPr>
            <w:tcW w:type="dxa" w:w="4320"/>
            <w:tcW w:w="1000" w:type="dxa"/>
          </w:tcPr>
          <w:p>
            <w:pPr>
              <w:jc w:val="center"/>
            </w:pPr>
            <w:r>
              <w:rPr>
                <w:rFonts w:ascii="Calibri" w:hAnsi="Calibri"/>
                <w:sz w:val="24"/>
              </w:rPr>
              <w:t>PDI (5-17 Y.O.)</w:t>
            </w:r>
          </w:p>
        </w:tc>
        <w:tc>
          <w:tcPr>
            <w:tcW w:type="dxa" w:w="4320"/>
            <w:tcW w:w="5000" w:type="dxa"/>
          </w:tcPr>
          <w:p>
            <w:pPr>
              <w:jc w:val="center"/>
            </w:pPr>
            <w:r>
              <w:rPr>
                <w:rFonts w:ascii="Calibri" w:hAnsi="Calibri"/>
                <w:sz w:val="24"/>
              </w:rPr>
              <w:t>11.1M</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23.6M</w:t>
            </w:r>
          </w:p>
        </w:tc>
      </w:tr>
    </w:tbl>
    <w:p/>
    <w:p>
      <w:pPr>
        <w:pStyle w:val="Heading3"/>
      </w:pPr>
      <w:r>
        <w:rPr>
          <w:rFonts w:ascii="Calibri" w:hAnsi="Calibri"/>
          <w:sz w:val="36"/>
        </w:rPr>
        <w:t>Répartition de la sévérité parmi les enfants en âge scolaire</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Enfants en besoin scolaire, par niveau de sévérité</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Niveaux de sévérité 1-2</w:t>
            </w:r>
          </w:p>
        </w:tc>
        <w:tc>
          <w:tcPr>
            <w:tcW w:type="dxa" w:w="1920"/>
            <w:gridSpan w:val="2"/>
            <w:vAlign w:val="center"/>
            <w:shd w:fill="#c7d9ec"/>
            <w:shd w:fill="#c7d9ec"/>
            <w:vAlign w:val="center"/>
            <w:vAlign w:val="center"/>
          </w:tcPr>
          <w:p>
            <w:pPr>
              <w:jc w:val="center"/>
            </w:pPr>
            <w:r>
              <w:rPr>
                <w:rFonts w:ascii="Calibri" w:hAnsi="Calibri"/>
                <w:b w:val="0"/>
                <w:sz w:val="22"/>
              </w:rPr>
              <w:t>Niveau de sévérité 3</w:t>
            </w:r>
          </w:p>
        </w:tc>
        <w:tc>
          <w:tcPr>
            <w:tcW w:type="dxa" w:w="1920"/>
            <w:gridSpan w:val="2"/>
            <w:vAlign w:val="center"/>
            <w:shd w:fill="#c7ecdb"/>
            <w:shd w:fill="#c7ecdb"/>
            <w:vAlign w:val="center"/>
            <w:vAlign w:val="center"/>
          </w:tcPr>
          <w:p>
            <w:pPr>
              <w:jc w:val="center"/>
            </w:pPr>
            <w:r>
              <w:rPr>
                <w:rFonts w:ascii="Calibri" w:hAnsi="Calibri"/>
                <w:b w:val="0"/>
                <w:sz w:val="22"/>
              </w:rPr>
              <w:t>Niveau de sévérité  4</w:t>
            </w:r>
          </w:p>
        </w:tc>
        <w:tc>
          <w:tcPr>
            <w:tcW w:type="dxa" w:w="1920"/>
            <w:gridSpan w:val="2"/>
            <w:vAlign w:val="center"/>
            <w:shd w:fill="#b3d3d4"/>
            <w:shd w:fill="#b3d3d4"/>
            <w:vAlign w:val="center"/>
            <w:vAlign w:val="center"/>
          </w:tcPr>
          <w:p>
            <w:pPr>
              <w:jc w:val="center"/>
            </w:pPr>
            <w:r>
              <w:rPr>
                <w:rFonts w:ascii="Calibri" w:hAnsi="Calibri"/>
                <w:b w:val="0"/>
                <w:sz w:val="22"/>
              </w:rPr>
              <w:t>Niveau de sévérité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68.7M</w:t>
            </w:r>
          </w:p>
        </w:tc>
        <w:tc>
          <w:tcPr>
            <w:tcW w:type="dxa" w:w="960"/>
            <w:shd w:fill="#ebecc7"/>
            <w:vAlign w:val="center"/>
          </w:tcPr>
          <w:p>
            <w:pPr>
              <w:jc w:val="center"/>
            </w:pPr>
            <w:r>
              <w:t>65.6</w:t>
            </w:r>
          </w:p>
        </w:tc>
        <w:tc>
          <w:tcPr>
            <w:tcW w:type="dxa" w:w="960"/>
            <w:shd w:fill="#ebecc7"/>
            <w:vAlign w:val="center"/>
          </w:tcPr>
          <w:p>
            <w:pPr>
              <w:jc w:val="center"/>
            </w:pPr>
            <w:r>
              <w:t>45.1M</w:t>
            </w:r>
          </w:p>
        </w:tc>
        <w:tc>
          <w:tcPr>
            <w:tcW w:type="dxa" w:w="960"/>
            <w:shd w:fill="#c7d9ec"/>
            <w:vAlign w:val="center"/>
          </w:tcPr>
          <w:p>
            <w:pPr>
              <w:jc w:val="center"/>
            </w:pPr>
            <w:r>
              <w:t>33.4</w:t>
            </w:r>
          </w:p>
        </w:tc>
        <w:tc>
          <w:tcPr>
            <w:tcW w:type="dxa" w:w="960"/>
            <w:shd w:fill="#c7d9ec"/>
            <w:vAlign w:val="center"/>
          </w:tcPr>
          <w:p>
            <w:pPr>
              <w:jc w:val="center"/>
            </w:pPr>
            <w:r>
              <w:t>22.9M</w:t>
            </w:r>
          </w:p>
        </w:tc>
        <w:tc>
          <w:tcPr>
            <w:tcW w:type="dxa" w:w="960"/>
            <w:shd w:fill="#c7ecdb"/>
            <w:vAlign w:val="center"/>
          </w:tcPr>
          <w:p>
            <w:pPr>
              <w:jc w:val="center"/>
            </w:pPr>
            <w:r>
              <w:t>1.0</w:t>
            </w:r>
          </w:p>
        </w:tc>
        <w:tc>
          <w:tcPr>
            <w:tcW w:type="dxa" w:w="960"/>
            <w:shd w:fill="#c7ecdb"/>
            <w:vAlign w:val="center"/>
          </w:tcPr>
          <w:p>
            <w:pPr>
              <w:jc w:val="center"/>
            </w:pPr>
            <w:r>
              <w:t>666K</w:t>
            </w:r>
          </w:p>
        </w:tc>
        <w:tc>
          <w:tcPr>
            <w:tcW w:type="dxa" w:w="960"/>
            <w:shd w:fill="#b3d3d4"/>
            <w:vAlign w:val="center"/>
          </w:tcPr>
          <w:p>
            <w:pPr>
              <w:jc w:val="center"/>
            </w:pPr>
            <w:r>
              <w:t>0.0</w:t>
            </w:r>
          </w:p>
        </w:tc>
        <w:tc>
          <w:tcPr>
            <w:tcW w:type="dxa" w:w="960"/>
            <w:shd w:fill="#b3d3d4"/>
            <w:vAlign w:val="center"/>
          </w:tcPr>
          <w:p>
            <w:pPr>
              <w:jc w:val="center"/>
            </w:pPr>
            <w:r>
              <w:t>8K</w:t>
            </w:r>
          </w:p>
        </w:tc>
      </w:tr>
    </w:tbl>
    <w:p>
      <w:pPr>
        <w:pStyle w:val="Heading3"/>
      </w:pPr>
      <w:r>
        <w:rPr>
          <w:rFonts w:ascii="Calibri" w:hAnsi="Calibri"/>
          <w:sz w:val="36"/>
        </w:rPr>
        <w:t>Détails sur les niveaux de sévérité pour chaque groupe de population</w:t>
      </w:r>
    </w:p>
    <w:p>
      <w:r>
        <w:drawing>
          <wp:inline xmlns:a="http://schemas.openxmlformats.org/drawingml/2006/main" xmlns:pic="http://schemas.openxmlformats.org/drawingml/2006/picture">
            <wp:extent cx="5486400" cy="2903794"/>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903794"/>
                    </a:xfrm>
                    <a:prstGeom prst="rect"/>
                  </pic:spPr>
                </pic:pic>
              </a:graphicData>
            </a:graphic>
          </wp:inline>
        </w:drawing>
      </w:r>
    </w:p>
    <w:p>
      <w:pPr>
        <w:pStyle w:val="Heading3"/>
      </w:pPr>
      <w:r>
        <w:rPr>
          <w:rFonts w:ascii="Calibri" w:hAnsi="Calibri"/>
          <w:sz w:val="36"/>
        </w:rPr>
        <w:t>Détails sur les besoins des enfants</w:t>
      </w:r>
    </w:p>
    <w:p>
      <w:r>
        <w:rPr>
          <w:rFonts w:ascii="Calibri" w:hAnsi="Calibri"/>
          <w:sz w:val="32"/>
        </w:rPr>
        <w:t>Besoins et niveaux de sévérité</w:t>
      </w:r>
    </w:p>
    <w:p>
      <w:r>
        <w:rPr>
          <w:rFonts w:ascii="Calibri" w:hAnsi="Calibri"/>
          <w:sz w:val="24"/>
        </w:rPr>
        <w:t>Les enfants dans le besoin sont catégorisés selon les quatre dimensions du PiN Éducation : accès à l'éducation, conditions d'apprentissage, niveau de protection au sein ou sur le chemin de l'école et circonstances aggravantes. Ces dimensions déterminent leur niveau de sévérité.</w:t>
      </w:r>
    </w:p>
    <w:p>
      <w:pPr>
        <w:pStyle w:val="ListBullet"/>
      </w:pPr>
      <w:r>
        <w:rPr>
          <w:rFonts w:ascii="Calibri" w:hAnsi="Calibri"/>
          <w:sz w:val="24"/>
        </w:rPr>
        <w:t>Absence d'accès à l'école : Ces enfants n’ont pas accès à l’école, mais ne souffrent pas de circonstance individuelle aggravante.</w:t>
      </w:r>
    </w:p>
    <w:p>
      <w:pPr>
        <w:pStyle w:val="ListBullet"/>
      </w:pPr>
      <w:r>
        <w:rPr>
          <w:rFonts w:ascii="Calibri" w:hAnsi="Calibri"/>
          <w:sz w:val="24"/>
        </w:rPr>
        <w:t>Étudier dans des conditions d'apprentissage de base inacceptables : Ces enfants sont classés en sévérité 3, bien qu'ils aient accès à l'école. Cependant, la qualité de leur environnement d'apprentissage est considérée inacceptable.</w:t>
      </w:r>
    </w:p>
    <w:p>
      <w:pPr>
        <w:pStyle w:val="ListBullet"/>
      </w:pPr>
      <w:r>
        <w:rPr>
          <w:rFonts w:ascii="Calibri" w:hAnsi="Calibri"/>
          <w:sz w:val="24"/>
        </w:rPr>
        <w:t>Évoluer dans un environnement éducatif non protecteur : Les enfants alloués en sévérité 4 fréquentent l'école mais dans un environnement qui ne garantit pas leur sécurité ou leur protection.</w:t>
      </w:r>
    </w:p>
    <w:p>
      <w:pPr>
        <w:pStyle w:val="ListBullet"/>
      </w:pPr>
      <w:r>
        <w:rPr>
          <w:rFonts w:ascii="Calibri" w:hAnsi="Calibri"/>
          <w:sz w:val="24"/>
        </w:rPr>
        <w:t>Faire face à des circonstances aggravantes empêchant l'accès à l'éducation : Les enfants classés en sévérité 4 ou 5, ne fréquentent pas l’école en raison de barrières d’accès/ circonstances individuelles aggravantes.</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Parmi tous les  enfants dans le besoin (23.6M):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N’ont pas accès à l’école</w:t>
            </w:r>
          </w:p>
        </w:tc>
        <w:tc>
          <w:tcPr>
            <w:tcW w:type="dxa" w:w="2880"/>
            <w:tcW w:w="700" w:type="dxa"/>
            <w:shd w:fill="#f4a582"/>
          </w:tcPr>
          <w:p>
            <w:pPr>
              <w:jc w:val="center"/>
            </w:pPr>
            <w:r>
              <w:rPr>
                <w:rFonts w:ascii="Calibri" w:hAnsi="Calibri"/>
                <w:sz w:val="22"/>
              </w:rPr>
              <w:t>95.9%</w:t>
            </w:r>
          </w:p>
        </w:tc>
        <w:tc>
          <w:tcPr>
            <w:tcW w:type="dxa" w:w="2880"/>
            <w:tcW w:w="700" w:type="dxa"/>
            <w:shd w:fill="#f4a582"/>
          </w:tcPr>
          <w:p>
            <w:pPr>
              <w:jc w:val="center"/>
            </w:pPr>
            <w:r>
              <w:rPr>
                <w:rFonts w:ascii="Calibri" w:hAnsi="Calibri"/>
                <w:sz w:val="22"/>
              </w:rPr>
              <w:t>22.6M</w:t>
            </w:r>
          </w:p>
        </w:tc>
      </w:tr>
      <w:tr>
        <w:trPr>
          <w:trHeight w:val="250" w:hRule="exact"/>
        </w:trPr>
        <w:tc>
          <w:tcPr>
            <w:tcW w:type="dxa" w:w="2880"/>
            <w:tcW w:w="6000" w:type="dxa"/>
          </w:tcPr>
          <w:p>
            <w:pPr>
              <w:jc w:val="left"/>
            </w:pPr>
            <w:r>
              <w:rPr>
                <w:rFonts w:ascii="Calibri" w:hAnsi="Calibri"/>
                <w:sz w:val="22"/>
              </w:rPr>
              <w:t xml:space="preserve">Étudient dans des conditions inacceptables </w:t>
            </w:r>
          </w:p>
        </w:tc>
        <w:tc>
          <w:tcPr>
            <w:tcW w:type="dxa" w:w="2880"/>
            <w:tcW w:w="700" w:type="dxa"/>
            <w:shd w:fill="#fee8c8"/>
          </w:tcPr>
          <w:p>
            <w:pPr>
              <w:jc w:val="center"/>
            </w:pPr>
            <w:r>
              <w:rPr>
                <w:rFonts w:ascii="Calibri" w:hAnsi="Calibri"/>
                <w:sz w:val="22"/>
              </w:rPr>
              <w:t>1.2%</w:t>
            </w:r>
          </w:p>
        </w:tc>
        <w:tc>
          <w:tcPr>
            <w:tcW w:type="dxa" w:w="2880"/>
            <w:tcW w:w="700" w:type="dxa"/>
            <w:shd w:fill="#fee8c8"/>
          </w:tcPr>
          <w:p>
            <w:pPr>
              <w:jc w:val="center"/>
            </w:pPr>
            <w:r>
              <w:rPr>
                <w:rFonts w:ascii="Calibri" w:hAnsi="Calibri"/>
                <w:sz w:val="22"/>
              </w:rPr>
              <w:t>286K</w:t>
            </w:r>
          </w:p>
        </w:tc>
      </w:tr>
      <w:tr>
        <w:trPr>
          <w:trHeight w:val="250" w:hRule="exact"/>
        </w:trPr>
        <w:tc>
          <w:tcPr>
            <w:tcW w:type="dxa" w:w="2880"/>
            <w:tcW w:w="6000" w:type="dxa"/>
          </w:tcPr>
          <w:p>
            <w:pPr>
              <w:jc w:val="left"/>
            </w:pPr>
            <w:r>
              <w:rPr>
                <w:rFonts w:ascii="Calibri" w:hAnsi="Calibri"/>
                <w:sz w:val="22"/>
              </w:rPr>
              <w:t>Évoluent dans un environnement éducatif non protecteur</w:t>
            </w:r>
          </w:p>
        </w:tc>
        <w:tc>
          <w:tcPr>
            <w:tcW w:type="dxa" w:w="2880"/>
            <w:tcW w:w="700" w:type="dxa"/>
            <w:shd w:fill="#fddbc7"/>
          </w:tcPr>
          <w:p>
            <w:pPr>
              <w:jc w:val="center"/>
            </w:pPr>
            <w:r>
              <w:rPr>
                <w:rFonts w:ascii="Calibri" w:hAnsi="Calibri"/>
                <w:sz w:val="22"/>
              </w:rPr>
              <w:t>2.5%</w:t>
            </w:r>
          </w:p>
        </w:tc>
        <w:tc>
          <w:tcPr>
            <w:tcW w:type="dxa" w:w="2880"/>
            <w:tcW w:w="700" w:type="dxa"/>
            <w:shd w:fill="#fddbc7"/>
          </w:tcPr>
          <w:p>
            <w:pPr>
              <w:jc w:val="center"/>
            </w:pPr>
            <w:r>
              <w:rPr>
                <w:rFonts w:ascii="Calibri" w:hAnsi="Calibri"/>
                <w:sz w:val="22"/>
              </w:rPr>
              <w:t>598K</w:t>
            </w:r>
          </w:p>
        </w:tc>
      </w:tr>
      <w:tr>
        <w:trPr>
          <w:trHeight w:val="250" w:hRule="exact"/>
        </w:trPr>
        <w:tc>
          <w:tcPr>
            <w:tcW w:type="dxa" w:w="2880"/>
            <w:tcW w:w="6000" w:type="dxa"/>
          </w:tcPr>
          <w:p>
            <w:pPr>
              <w:jc w:val="left"/>
            </w:pPr>
            <w:r>
              <w:rPr>
                <w:rFonts w:ascii="Calibri" w:hAnsi="Calibri"/>
                <w:sz w:val="22"/>
              </w:rPr>
              <w:t>Font face à des circonstances aggravantes empêchant l'accès à l'éducation</w:t>
            </w:r>
          </w:p>
        </w:tc>
        <w:tc>
          <w:tcPr>
            <w:tcW w:type="dxa" w:w="2880"/>
            <w:tcW w:w="700" w:type="dxa"/>
            <w:shd w:fill="#fff7ec"/>
          </w:tcPr>
          <w:p>
            <w:pPr>
              <w:jc w:val="center"/>
            </w:pPr>
            <w:r>
              <w:rPr>
                <w:rFonts w:ascii="Calibri" w:hAnsi="Calibri"/>
                <w:sz w:val="22"/>
              </w:rPr>
              <w:t>0.3%</w:t>
            </w:r>
          </w:p>
        </w:tc>
        <w:tc>
          <w:tcPr>
            <w:tcW w:type="dxa" w:w="2880"/>
            <w:tcW w:w="700" w:type="dxa"/>
            <w:shd w:fill="#fff7ec"/>
          </w:tcPr>
          <w:p>
            <w:pPr>
              <w:jc w:val="center"/>
            </w:pPr>
            <w:r>
              <w:rPr>
                <w:rFonts w:ascii="Calibri" w:hAnsi="Calibri"/>
                <w:sz w:val="22"/>
              </w:rPr>
              <w:t>75K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NON_PDI enfants dans le besoin (12.5M):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4a582"/>
          </w:tcPr>
          <w:p>
            <w:pPr>
              <w:jc w:val="center"/>
            </w:pPr>
            <w:r>
              <w:rPr>
                <w:rFonts w:ascii="Calibri" w:hAnsi="Calibri"/>
                <w:sz w:val="18"/>
              </w:rPr>
              <w:t>94.4%</w:t>
            </w:r>
          </w:p>
        </w:tc>
        <w:tc>
          <w:tcPr>
            <w:tcW w:type="dxa" w:w="2880"/>
            <w:tcW w:w="700" w:type="dxa"/>
            <w:shd w:fill="#f4a582"/>
          </w:tcPr>
          <w:p>
            <w:pPr>
              <w:jc w:val="center"/>
            </w:pPr>
            <w:r>
              <w:rPr>
                <w:rFonts w:ascii="Calibri" w:hAnsi="Calibri"/>
                <w:sz w:val="18"/>
              </w:rPr>
              <w:t>11.8M</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ee8c8"/>
          </w:tcPr>
          <w:p>
            <w:pPr>
              <w:jc w:val="center"/>
            </w:pPr>
            <w:r>
              <w:rPr>
                <w:rFonts w:ascii="Calibri" w:hAnsi="Calibri"/>
                <w:sz w:val="18"/>
              </w:rPr>
              <w:t>1.8%</w:t>
            </w:r>
          </w:p>
        </w:tc>
        <w:tc>
          <w:tcPr>
            <w:tcW w:type="dxa" w:w="2880"/>
            <w:tcW w:w="700" w:type="dxa"/>
            <w:shd w:fill="#fee8c8"/>
          </w:tcPr>
          <w:p>
            <w:pPr>
              <w:jc w:val="center"/>
            </w:pPr>
            <w:r>
              <w:rPr>
                <w:rFonts w:ascii="Calibri" w:hAnsi="Calibri"/>
                <w:sz w:val="18"/>
              </w:rPr>
              <w:t>227K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ddbc7"/>
          </w:tcPr>
          <w:p>
            <w:pPr>
              <w:jc w:val="center"/>
            </w:pPr>
            <w:r>
              <w:rPr>
                <w:rFonts w:ascii="Calibri" w:hAnsi="Calibri"/>
                <w:sz w:val="18"/>
              </w:rPr>
              <w:t>3.4%</w:t>
            </w:r>
          </w:p>
        </w:tc>
        <w:tc>
          <w:tcPr>
            <w:tcW w:type="dxa" w:w="2880"/>
            <w:tcW w:w="700" w:type="dxa"/>
            <w:shd w:fill="#fddbc7"/>
          </w:tcPr>
          <w:p>
            <w:pPr>
              <w:jc w:val="center"/>
            </w:pPr>
            <w:r>
              <w:rPr>
                <w:rFonts w:ascii="Calibri" w:hAnsi="Calibri"/>
                <w:sz w:val="18"/>
              </w:rPr>
              <w:t>423K</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0.4%</w:t>
            </w:r>
          </w:p>
        </w:tc>
        <w:tc>
          <w:tcPr>
            <w:tcW w:type="dxa" w:w="2880"/>
            <w:tcW w:w="700" w:type="dxa"/>
            <w:shd w:fill="#fff7ec"/>
          </w:tcPr>
          <w:p>
            <w:pPr>
              <w:jc w:val="center"/>
            </w:pPr>
            <w:r>
              <w:rPr>
                <w:rFonts w:ascii="Calibri" w:hAnsi="Calibri"/>
                <w:sz w:val="18"/>
              </w:rPr>
              <w:t>52K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PDI enfants dans le besoin (11.1M):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4a582"/>
          </w:tcPr>
          <w:p>
            <w:pPr>
              <w:jc w:val="center"/>
            </w:pPr>
            <w:r>
              <w:rPr>
                <w:rFonts w:ascii="Calibri" w:hAnsi="Calibri"/>
                <w:sz w:val="18"/>
              </w:rPr>
              <w:t>97.7%</w:t>
            </w:r>
          </w:p>
        </w:tc>
        <w:tc>
          <w:tcPr>
            <w:tcW w:type="dxa" w:w="2880"/>
            <w:tcW w:w="700" w:type="dxa"/>
            <w:shd w:fill="#f4a582"/>
          </w:tcPr>
          <w:p>
            <w:pPr>
              <w:jc w:val="center"/>
            </w:pPr>
            <w:r>
              <w:rPr>
                <w:rFonts w:ascii="Calibri" w:hAnsi="Calibri"/>
                <w:sz w:val="18"/>
              </w:rPr>
              <w:t>10.8M</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ee8c8"/>
          </w:tcPr>
          <w:p>
            <w:pPr>
              <w:jc w:val="center"/>
            </w:pPr>
            <w:r>
              <w:rPr>
                <w:rFonts w:ascii="Calibri" w:hAnsi="Calibri"/>
                <w:sz w:val="18"/>
              </w:rPr>
              <w:t>0.5%</w:t>
            </w:r>
          </w:p>
        </w:tc>
        <w:tc>
          <w:tcPr>
            <w:tcW w:type="dxa" w:w="2880"/>
            <w:tcW w:w="700" w:type="dxa"/>
            <w:shd w:fill="#fee8c8"/>
          </w:tcPr>
          <w:p>
            <w:pPr>
              <w:jc w:val="center"/>
            </w:pPr>
            <w:r>
              <w:rPr>
                <w:rFonts w:ascii="Calibri" w:hAnsi="Calibri"/>
                <w:sz w:val="18"/>
              </w:rPr>
              <w:t>59K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ddbc7"/>
          </w:tcPr>
          <w:p>
            <w:pPr>
              <w:jc w:val="center"/>
            </w:pPr>
            <w:r>
              <w:rPr>
                <w:rFonts w:ascii="Calibri" w:hAnsi="Calibri"/>
                <w:sz w:val="18"/>
              </w:rPr>
              <w:t>1.6%</w:t>
            </w:r>
          </w:p>
        </w:tc>
        <w:tc>
          <w:tcPr>
            <w:tcW w:type="dxa" w:w="2880"/>
            <w:tcW w:w="700" w:type="dxa"/>
            <w:shd w:fill="#fddbc7"/>
          </w:tcPr>
          <w:p>
            <w:pPr>
              <w:jc w:val="center"/>
            </w:pPr>
            <w:r>
              <w:rPr>
                <w:rFonts w:ascii="Calibri" w:hAnsi="Calibri"/>
                <w:sz w:val="18"/>
              </w:rPr>
              <w:t>175K</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0.2%</w:t>
            </w:r>
          </w:p>
        </w:tc>
        <w:tc>
          <w:tcPr>
            <w:tcW w:type="dxa" w:w="2880"/>
            <w:tcW w:w="700" w:type="dxa"/>
            <w:shd w:fill="#fff7ec"/>
          </w:tcPr>
          <w:p>
            <w:pPr>
              <w:jc w:val="center"/>
            </w:pPr>
            <w:r>
              <w:rPr>
                <w:rFonts w:ascii="Calibri" w:hAnsi="Calibri"/>
                <w:sz w:val="18"/>
              </w:rPr>
              <w:t>23K</w:t>
            </w:r>
          </w:p>
        </w:tc>
      </w:tr>
    </w:tbl>
    <w:p/>
    <w:p>
      <w:pPr>
        <w:pStyle w:val="Heading3"/>
      </w:pPr>
      <w:r>
        <w:rPr>
          <w:rFonts w:ascii="Calibri" w:hAnsi="Calibri"/>
          <w:sz w:val="36"/>
        </w:rPr>
        <w:t>Profils des enfants (asés sur les résultats de l'enquête MSNA)</w:t>
      </w:r>
    </w:p>
    <w:p>
      <w:r>
        <w:rPr>
          <w:rFonts w:ascii="Calibri" w:hAnsi="Calibri"/>
          <w:sz w:val="24"/>
        </w:rPr>
        <w:t>Les graphiques ci-dessous montrent les profils des enfants en âge scolaire, basés sur les 4 dimensions du PiN éducation (Accès à l’éducation, Conditions d’apprentissage, Niveau de protection au sein ou sur le chemin de l’école, et Circonstances aggravantes)</w:t>
      </w:r>
    </w:p>
    <w:p>
      <w:r>
        <w:drawing>
          <wp:inline xmlns:a="http://schemas.openxmlformats.org/drawingml/2006/main" xmlns:pic="http://schemas.openxmlformats.org/drawingml/2006/picture">
            <wp:extent cx="4572000" cy="5638952"/>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38952"/>
                    </a:xfrm>
                    <a:prstGeom prst="rect"/>
                  </pic:spPr>
                </pic:pic>
              </a:graphicData>
            </a:graphic>
          </wp:inline>
        </w:drawing>
      </w:r>
    </w:p>
    <w:p>
      <w:r>
        <w:drawing>
          <wp:inline xmlns:a="http://schemas.openxmlformats.org/drawingml/2006/main" xmlns:pic="http://schemas.openxmlformats.org/drawingml/2006/picture">
            <wp:extent cx="4572000" cy="2637654"/>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637654"/>
                    </a:xfrm>
                    <a:prstGeom prst="rect"/>
                  </pic:spPr>
                </pic:pic>
              </a:graphicData>
            </a:graphic>
          </wp:inline>
        </w:drawing>
      </w:r>
    </w:p>
    <w:p>
      <w:r>
        <w:drawing>
          <wp:inline xmlns:a="http://schemas.openxmlformats.org/drawingml/2006/main" xmlns:pic="http://schemas.openxmlformats.org/drawingml/2006/picture">
            <wp:extent cx="4572000" cy="2637654"/>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637654"/>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