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Myanmar – PiN insight</w:t>
      </w:r>
    </w:p>
    <w:p/>
    <w:p>
      <w:pPr>
        <w:pStyle w:val="Heading2"/>
        <w:jc w:val="left"/>
      </w:pPr>
      <w:r>
        <w:rPr>
          <w:rFonts w:ascii="Calibri" w:hAnsi="Calibri"/>
          <w:b/>
          <w:sz w:val="40"/>
        </w:rPr>
        <w:t>Children in Need (5-17 y.o.)</w:t>
      </w:r>
    </w:p>
    <w:p>
      <w:r>
        <w:rPr>
          <w:b/>
          <w:color w:val="569697"/>
          <w:sz w:val="30"/>
        </w:rPr>
        <w:t>66.9%</w:t>
      </w:r>
      <w:r>
        <w:rPr>
          <w:sz w:val="30"/>
        </w:rPr>
        <w:t xml:space="preserve"> of school-aged children are in need:</w:t>
      </w:r>
      <w:r>
        <w:rPr>
          <w:b/>
          <w:color w:val="569697"/>
          <w:sz w:val="30"/>
        </w:rPr>
        <w:br/>
        <w:t>2.4M</w:t>
      </w:r>
      <w:r>
        <w:rPr>
          <w:sz w:val="30"/>
        </w:rPr>
        <w:t xml:space="preserve"> children including:</w:t>
      </w:r>
    </w:p>
    <w:p>
      <w:pPr>
        <w:pStyle w:val="ListBullet"/>
        <w:ind w:left="1440"/>
      </w:pPr>
      <w:r>
        <w:rPr>
          <w:rFonts w:ascii="Calibri" w:hAnsi="Calibri"/>
          <w:sz w:val="24"/>
        </w:rPr>
        <w:t>1.0M girls and 1.4M boys;</w:t>
      </w:r>
    </w:p>
    <w:p>
      <w:pPr>
        <w:pStyle w:val="ListBullet"/>
        <w:ind w:left="1440"/>
      </w:pPr>
      <w:r>
        <w:rPr>
          <w:rFonts w:ascii="Calibri" w:hAnsi="Calibri"/>
          <w:sz w:val="24"/>
        </w:rPr>
        <w:t>2.0M are OCAP population group;</w:t>
      </w:r>
    </w:p>
    <w:p>
      <w:pPr>
        <w:pStyle w:val="ListBullet"/>
        <w:ind w:left="1440"/>
      </w:pPr>
      <w:r>
        <w:rPr>
          <w:rFonts w:ascii="Calibri" w:hAnsi="Calibri"/>
          <w:sz w:val="24"/>
        </w:rPr>
        <w:t>178K are IDP population group;</w:t>
      </w:r>
    </w:p>
    <w:p>
      <w:pPr>
        <w:pStyle w:val="ListBullet"/>
        <w:ind w:left="1440"/>
      </w:pPr>
      <w:r>
        <w:rPr>
          <w:rFonts w:ascii="Calibri" w:hAnsi="Calibri"/>
          <w:sz w:val="24"/>
        </w:rPr>
        <w:t>115K are RET population group;</w:t>
      </w:r>
    </w:p>
    <w:p>
      <w:pPr>
        <w:pStyle w:val="ListBullet"/>
        <w:ind w:left="1440"/>
      </w:pPr>
      <w:r>
        <w:rPr>
          <w:rFonts w:ascii="Calibri" w:hAnsi="Calibri"/>
          <w:sz w:val="24"/>
        </w:rPr>
        <w:t>87K are NDSP population group;</w:t>
      </w:r>
    </w:p>
    <w:p>
      <w:pPr>
        <w:pStyle w:val="ListBullet"/>
        <w:ind w:left="1440"/>
      </w:pPr>
      <w:r>
        <w:rPr>
          <w:rFonts w:ascii="Calibri" w:hAnsi="Calibri"/>
          <w:sz w:val="24"/>
        </w:rPr>
        <w:t>246K are 5 years old (ECE);</w:t>
      </w:r>
    </w:p>
    <w:p>
      <w:pPr>
        <w:pStyle w:val="ListBullet"/>
        <w:ind w:left="1440"/>
      </w:pPr>
      <w:r>
        <w:rPr>
          <w:rFonts w:ascii="Calibri" w:hAnsi="Calibri"/>
          <w:sz w:val="24"/>
        </w:rPr>
        <w:t>243K children with disability.</w:t>
      </w:r>
    </w:p>
    <w:p>
      <w:pPr>
        <w:pStyle w:val="Heading3"/>
      </w:pPr>
      <w:r>
        <w:rPr>
          <w:rFonts w:ascii="Calibri" w:hAnsi="Calibri"/>
          <w:sz w:val="36"/>
        </w:rPr>
        <w:t>Severity Distribution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400" w:hRule="exact"/>
        </w:trPr>
        <w:tc>
          <w:tcPr>
            <w:tcW w:type="dxa" w:w="960"/>
            <w:vAlign w:val="center"/>
            <w:vAlign w:val="center"/>
          </w:tcPr>
          <w:p>
            <w:pPr>
              <w:jc w:val="center"/>
            </w:pPr>
            <w:r>
              <w:rPr>
                <w:b w:val="0"/>
                <w:sz w:val="22"/>
              </w:rPr>
              <w:t>ToT #</w:t>
            </w:r>
          </w:p>
        </w:tc>
        <w:tc>
          <w:tcPr>
            <w:tcW w:type="dxa" w:w="1920"/>
            <w:gridSpan w:val="2"/>
            <w:vAlign w:val="center"/>
            <w:shd w:fill="#ebecc7"/>
            <w:shd w:fill="#ebecc7"/>
            <w:vAlign w:val="center"/>
            <w:vAlign w:val="center"/>
          </w:tcPr>
          <w:p>
            <w:pPr>
              <w:jc w:val="center"/>
            </w:pPr>
            <w:r>
              <w:rPr>
                <w:b w:val="0"/>
                <w:sz w:val="22"/>
              </w:rPr>
              <w:t>Severity 1-2</w:t>
            </w:r>
          </w:p>
        </w:tc>
        <w:tc>
          <w:tcPr>
            <w:tcW w:type="dxa" w:w="1920"/>
            <w:gridSpan w:val="2"/>
            <w:vAlign w:val="center"/>
            <w:shd w:fill="#c7d9ec"/>
            <w:shd w:fill="#c7d9ec"/>
            <w:vAlign w:val="center"/>
            <w:vAlign w:val="center"/>
          </w:tcPr>
          <w:p>
            <w:pPr>
              <w:jc w:val="center"/>
            </w:pPr>
            <w:r>
              <w:rPr>
                <w:b w:val="0"/>
                <w:sz w:val="22"/>
              </w:rPr>
              <w:t>Severity 3</w:t>
            </w:r>
          </w:p>
        </w:tc>
        <w:tc>
          <w:tcPr>
            <w:tcW w:type="dxa" w:w="1920"/>
            <w:gridSpan w:val="2"/>
            <w:vAlign w:val="center"/>
            <w:shd w:fill="#c7ecdb"/>
            <w:shd w:fill="#c7ecdb"/>
            <w:vAlign w:val="center"/>
            <w:vAlign w:val="center"/>
          </w:tcPr>
          <w:p>
            <w:pPr>
              <w:jc w:val="center"/>
            </w:pPr>
            <w:r>
              <w:rPr>
                <w:b w:val="0"/>
                <w:sz w:val="22"/>
              </w:rPr>
              <w:t>Severity 4</w:t>
            </w:r>
          </w:p>
        </w:tc>
        <w:tc>
          <w:tcPr>
            <w:tcW w:type="dxa" w:w="1920"/>
            <w:gridSpan w:val="2"/>
            <w:vAlign w:val="center"/>
            <w:shd w:fill="#b3d3d4"/>
            <w:shd w:fill="#b3d3d4"/>
            <w:vAlign w:val="center"/>
            <w:vAlign w:val="center"/>
          </w:tcPr>
          <w:p>
            <w:pPr>
              <w:jc w:val="center"/>
            </w:pPr>
            <w:r>
              <w:rPr>
                <w:b w:val="0"/>
                <w:sz w:val="22"/>
              </w:rPr>
              <w:t>Severity 5</w:t>
            </w:r>
          </w:p>
        </w:tc>
      </w:tr>
      <w:tr>
        <w:trPr>
          <w:trHeight w:val="300" w:hRule="exact"/>
        </w:trPr>
        <w:tc>
          <w:tcPr>
            <w:tcW w:type="dxa" w:w="960"/>
            <w:vAlign w:val="center"/>
          </w:tcPr>
          <w:p>
            <w:pPr>
              <w:jc w:val="center"/>
            </w:pPr>
          </w:p>
        </w:tc>
        <w:tc>
          <w:tcPr>
            <w:tcW w:type="dxa" w:w="960"/>
            <w:shd w:fill="#ebecc7"/>
            <w:vAlign w:val="center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960"/>
            <w:shd w:fill="#ebecc7"/>
            <w:vAlign w:val="center"/>
          </w:tcPr>
          <w:p>
            <w:pPr>
              <w:jc w:val="center"/>
            </w:pPr>
            <w:r>
              <w:t>#</w:t>
            </w:r>
          </w:p>
        </w:tc>
        <w:tc>
          <w:tcPr>
            <w:tcW w:type="dxa" w:w="960"/>
            <w:shd w:fill="#c7d9ec"/>
            <w:vAlign w:val="center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960"/>
            <w:shd w:fill="#c7d9ec"/>
            <w:vAlign w:val="center"/>
          </w:tcPr>
          <w:p>
            <w:pPr>
              <w:jc w:val="center"/>
            </w:pPr>
            <w:r>
              <w:t>#</w:t>
            </w:r>
          </w:p>
        </w:tc>
        <w:tc>
          <w:tcPr>
            <w:tcW w:type="dxa" w:w="960"/>
            <w:shd w:fill="#c7ecdb"/>
            <w:vAlign w:val="center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960"/>
            <w:shd w:fill="#c7ecdb"/>
            <w:vAlign w:val="center"/>
          </w:tcPr>
          <w:p>
            <w:pPr>
              <w:jc w:val="center"/>
            </w:pPr>
            <w:r>
              <w:t>#</w:t>
            </w:r>
          </w:p>
        </w:tc>
        <w:tc>
          <w:tcPr>
            <w:tcW w:type="dxa" w:w="960"/>
            <w:shd w:fill="#b3d3d4"/>
            <w:vAlign w:val="center"/>
          </w:tcPr>
          <w:p>
            <w:pPr>
              <w:jc w:val="center"/>
            </w:pPr>
            <w:r>
              <w:t>%</w:t>
            </w:r>
          </w:p>
        </w:tc>
        <w:tc>
          <w:tcPr>
            <w:tcW w:type="dxa" w:w="960"/>
            <w:shd w:fill="#b3d3d4"/>
            <w:vAlign w:val="center"/>
          </w:tcPr>
          <w:p>
            <w:pPr>
              <w:jc w:val="center"/>
            </w:pPr>
            <w:r>
              <w:t>#</w:t>
            </w:r>
          </w:p>
        </w:tc>
      </w:tr>
      <w:tr>
        <w:trPr>
          <w:trHeight w:val="300" w:hRule="exact"/>
        </w:trPr>
        <w:tc>
          <w:tcPr>
            <w:tcW w:type="dxa" w:w="960"/>
            <w:vAlign w:val="center"/>
          </w:tcPr>
          <w:p>
            <w:pPr>
              <w:jc w:val="center"/>
            </w:pPr>
            <w:r>
              <w:t>3.6M</w:t>
            </w:r>
          </w:p>
        </w:tc>
        <w:tc>
          <w:tcPr>
            <w:tcW w:type="dxa" w:w="960"/>
            <w:shd w:fill="#ebecc7"/>
            <w:vAlign w:val="center"/>
          </w:tcPr>
          <w:p>
            <w:pPr>
              <w:jc w:val="center"/>
            </w:pPr>
            <w:r>
              <w:t>33.1</w:t>
            </w:r>
          </w:p>
        </w:tc>
        <w:tc>
          <w:tcPr>
            <w:tcW w:type="dxa" w:w="960"/>
            <w:shd w:fill="#ebecc7"/>
            <w:vAlign w:val="center"/>
          </w:tcPr>
          <w:p>
            <w:pPr>
              <w:jc w:val="center"/>
            </w:pPr>
            <w:r>
              <w:t>1.2M</w:t>
            </w:r>
          </w:p>
        </w:tc>
        <w:tc>
          <w:tcPr>
            <w:tcW w:type="dxa" w:w="960"/>
            <w:shd w:fill="#c7d9ec"/>
            <w:vAlign w:val="center"/>
          </w:tcPr>
          <w:p>
            <w:pPr>
              <w:jc w:val="center"/>
            </w:pPr>
            <w:r>
              <w:t>63.1</w:t>
            </w:r>
          </w:p>
        </w:tc>
        <w:tc>
          <w:tcPr>
            <w:tcW w:type="dxa" w:w="960"/>
            <w:shd w:fill="#c7d9ec"/>
            <w:vAlign w:val="center"/>
          </w:tcPr>
          <w:p>
            <w:pPr>
              <w:jc w:val="center"/>
            </w:pPr>
            <w:r>
              <w:t>2.3M</w:t>
            </w:r>
          </w:p>
        </w:tc>
        <w:tc>
          <w:tcPr>
            <w:tcW w:type="dxa" w:w="960"/>
            <w:shd w:fill="#c7ecdb"/>
            <w:vAlign w:val="center"/>
          </w:tcPr>
          <w:p>
            <w:pPr>
              <w:jc w:val="center"/>
            </w:pPr>
            <w:r>
              <w:t>3.1</w:t>
            </w:r>
          </w:p>
        </w:tc>
        <w:tc>
          <w:tcPr>
            <w:tcW w:type="dxa" w:w="960"/>
            <w:shd w:fill="#c7ecdb"/>
            <w:vAlign w:val="center"/>
          </w:tcPr>
          <w:p>
            <w:pPr>
              <w:jc w:val="center"/>
            </w:pPr>
            <w:r>
              <w:t>114K</w:t>
            </w:r>
          </w:p>
        </w:tc>
        <w:tc>
          <w:tcPr>
            <w:tcW w:type="dxa" w:w="960"/>
            <w:shd w:fill="#b3d3d4"/>
            <w:vAlign w:val="center"/>
          </w:tcPr>
          <w:p>
            <w:pPr>
              <w:jc w:val="center"/>
            </w:pPr>
            <w:r>
              <w:t>0.7</w:t>
            </w:r>
          </w:p>
        </w:tc>
        <w:tc>
          <w:tcPr>
            <w:tcW w:type="dxa" w:w="960"/>
            <w:shd w:fill="#b3d3d4"/>
            <w:vAlign w:val="center"/>
          </w:tcPr>
          <w:p>
            <w:pPr>
              <w:jc w:val="center"/>
            </w:pPr>
            <w:r>
              <w:t>26K</w:t>
            </w:r>
          </w:p>
        </w:tc>
      </w:tr>
    </w:tbl>
    <w:p>
      <w:pPr>
        <w:pStyle w:val="Heading3"/>
      </w:pPr>
      <w:r>
        <w:rPr>
          <w:rFonts w:ascii="Calibri" w:hAnsi="Calibri"/>
          <w:sz w:val="36"/>
        </w:rPr>
        <w:t>PiN by Severity and by Population Groups</w:t>
      </w:r>
    </w:p>
    <w:p>
      <w:r>
        <w:drawing>
          <wp:inline xmlns:a="http://schemas.openxmlformats.org/drawingml/2006/main" xmlns:pic="http://schemas.openxmlformats.org/drawingml/2006/picture">
            <wp:extent cx="5486400" cy="2764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cked_bar_chart_large_legend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4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rPr>
          <w:rFonts w:ascii="Calibri" w:hAnsi="Calibri"/>
          <w:sz w:val="36"/>
        </w:rPr>
        <w:t>Insights into the types of needs</w:t>
      </w:r>
    </w:p>
    <w:p>
      <w:r>
        <w:t>Considering only the children in need, it is possible to explore the needs driving the severity.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50" w:hRule="exact"/>
        </w:trPr>
        <w:tc>
          <w:tcPr>
            <w:tcW w:type="dxa" w:w="2880"/>
            <w:tcW w:w="7500" w:type="dxa"/>
            <w:shd w:fill="#DDEBF7"/>
          </w:tcPr>
          <w:p>
            <w:pPr>
              <w:jc w:val="left"/>
            </w:pPr>
            <w:r>
              <w:rPr>
                <w:rFonts w:ascii="Calibri" w:hAnsi="Calibri"/>
                <w:b/>
                <w:sz w:val="24"/>
              </w:rPr>
              <w:t>Among the 2.4M all children in need: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%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#</w:t>
            </w:r>
          </w:p>
        </w:tc>
      </w:tr>
      <w:tr>
        <w:trPr>
          <w:trHeight w:val="350" w:hRule="exact"/>
        </w:trPr>
        <w:tc>
          <w:tcPr>
            <w:tcW w:type="dxa" w:w="2880"/>
            <w:tcW w:w="7500" w:type="dxa"/>
          </w:tcPr>
          <w:p>
            <w:pPr>
              <w:jc w:val="left"/>
            </w:pPr>
            <w:r>
              <w:rPr>
                <w:rFonts w:ascii="Calibri" w:hAnsi="Calibri"/>
                <w:sz w:val="24"/>
              </w:rPr>
              <w:t>Lack access to school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88.7%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2.2M</w:t>
            </w:r>
          </w:p>
        </w:tc>
      </w:tr>
      <w:tr>
        <w:trPr>
          <w:trHeight w:val="350" w:hRule="exact"/>
        </w:trPr>
        <w:tc>
          <w:tcPr>
            <w:tcW w:type="dxa" w:w="2880"/>
            <w:tcW w:w="7500" w:type="dxa"/>
          </w:tcPr>
          <w:p>
            <w:pPr>
              <w:jc w:val="left"/>
            </w:pPr>
            <w:r>
              <w:rPr>
                <w:rFonts w:ascii="Calibri" w:hAnsi="Calibri"/>
                <w:sz w:val="24"/>
              </w:rPr>
              <w:t>Face unacceptable learning conditions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5.5%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134K</w:t>
            </w:r>
          </w:p>
        </w:tc>
      </w:tr>
      <w:tr>
        <w:trPr>
          <w:trHeight w:val="350" w:hRule="exact"/>
        </w:trPr>
        <w:tc>
          <w:tcPr>
            <w:tcW w:type="dxa" w:w="2880"/>
            <w:tcW w:w="7500" w:type="dxa"/>
          </w:tcPr>
          <w:p>
            <w:pPr>
              <w:jc w:val="left"/>
            </w:pPr>
            <w:r>
              <w:rPr>
                <w:rFonts w:ascii="Calibri" w:hAnsi="Calibri"/>
                <w:sz w:val="24"/>
              </w:rPr>
              <w:t>Live in an unprotected environment in relationship with education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2.5%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60K</w:t>
            </w:r>
          </w:p>
        </w:tc>
      </w:tr>
      <w:tr>
        <w:trPr>
          <w:trHeight w:val="350" w:hRule="exact"/>
        </w:trPr>
        <w:tc>
          <w:tcPr>
            <w:tcW w:type="dxa" w:w="2880"/>
            <w:tcW w:w="7500" w:type="dxa"/>
          </w:tcPr>
          <w:p>
            <w:pPr>
              <w:jc w:val="left"/>
            </w:pPr>
            <w:r>
              <w:rPr>
                <w:rFonts w:ascii="Calibri" w:hAnsi="Calibri"/>
                <w:sz w:val="24"/>
              </w:rPr>
              <w:t>Face aggravating circumstances preventing their access to education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10.0%</w:t>
            </w:r>
          </w:p>
        </w:tc>
        <w:tc>
          <w:tcPr>
            <w:tcW w:type="dxa" w:w="2880"/>
            <w:tcW w:w="1000" w:type="dxa"/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80K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250" w:hRule="exact"/>
        </w:trPr>
        <w:tc>
          <w:tcPr>
            <w:tcW w:type="dxa" w:w="2880"/>
            <w:tcW w:w="6000" w:type="dxa"/>
            <w:shd w:fill="#DDEBF7"/>
          </w:tcPr>
          <w:p>
            <w:pPr>
              <w:jc w:val="left"/>
            </w:pPr>
            <w:r>
              <w:rPr>
                <w:rFonts w:ascii="Calibri" w:hAnsi="Calibri"/>
                <w:b/>
                <w:sz w:val="18"/>
              </w:rPr>
              <w:t>Among the 2.0M OCAP children in need: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#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Lack access to school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89.3%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1.8M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Face unacceptable learning conditions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5.9%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121K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Live in an unprotected environment in relationship with education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1.8%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37K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Face aggravating circumstances preventing their access to education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3.0%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62K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250" w:hRule="exact"/>
        </w:trPr>
        <w:tc>
          <w:tcPr>
            <w:tcW w:type="dxa" w:w="2880"/>
            <w:tcW w:w="6000" w:type="dxa"/>
            <w:shd w:fill="#DDEBF7"/>
          </w:tcPr>
          <w:p>
            <w:pPr>
              <w:jc w:val="left"/>
            </w:pPr>
            <w:r>
              <w:rPr>
                <w:rFonts w:ascii="Calibri" w:hAnsi="Calibri"/>
                <w:b/>
                <w:sz w:val="18"/>
              </w:rPr>
              <w:t>Among the 178K IDP children in need: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#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Lack access to school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84.8%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151K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Face unacceptable learning conditions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2.4%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4K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Live in an unprotected environment in relationship with education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5.1%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9K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Face aggravating circumstances preventing their access to education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7.7%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14K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250" w:hRule="exact"/>
        </w:trPr>
        <w:tc>
          <w:tcPr>
            <w:tcW w:type="dxa" w:w="2880"/>
            <w:tcW w:w="6000" w:type="dxa"/>
            <w:shd w:fill="#DDEBF7"/>
          </w:tcPr>
          <w:p>
            <w:pPr>
              <w:jc w:val="left"/>
            </w:pPr>
            <w:r>
              <w:rPr>
                <w:rFonts w:ascii="Calibri" w:hAnsi="Calibri"/>
                <w:b/>
                <w:sz w:val="18"/>
              </w:rPr>
              <w:t>Among the 115K RET children in need: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#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Lack access to school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87.8%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101K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Face unacceptable learning conditions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7.5%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9K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Live in an unprotected environment in relationship with education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4.7%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5K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Face aggravating circumstances preventing their access to education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0.0%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250" w:hRule="exact"/>
        </w:trPr>
        <w:tc>
          <w:tcPr>
            <w:tcW w:type="dxa" w:w="2880"/>
            <w:tcW w:w="6000" w:type="dxa"/>
            <w:shd w:fill="#DDEBF7"/>
          </w:tcPr>
          <w:p>
            <w:pPr>
              <w:jc w:val="left"/>
            </w:pPr>
            <w:r>
              <w:rPr>
                <w:rFonts w:ascii="Calibri" w:hAnsi="Calibri"/>
                <w:b/>
                <w:sz w:val="18"/>
              </w:rPr>
              <w:t>Among the 87K NDSP children in need: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#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Lack access to school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86.1%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75K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Face unacceptable learning conditions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0.0%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Live in an unprotected environment in relationship with education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8.8%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8K</w:t>
            </w:r>
          </w:p>
        </w:tc>
      </w:tr>
      <w:tr>
        <w:trPr>
          <w:trHeight w:val="250" w:hRule="exact"/>
        </w:trPr>
        <w:tc>
          <w:tcPr>
            <w:tcW w:type="dxa" w:w="2880"/>
            <w:tcW w:w="6000" w:type="dxa"/>
          </w:tcPr>
          <w:p>
            <w:pPr>
              <w:jc w:val="left"/>
            </w:pPr>
            <w:r>
              <w:rPr>
                <w:rFonts w:ascii="Calibri" w:hAnsi="Calibri"/>
                <w:sz w:val="18"/>
              </w:rPr>
              <w:t>Face aggravating circumstances preventing their access to education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5.1%</w:t>
            </w:r>
          </w:p>
        </w:tc>
        <w:tc>
          <w:tcPr>
            <w:tcW w:type="dxa" w:w="2880"/>
            <w:tcW w:w="700" w:type="dxa"/>
          </w:tcPr>
          <w:p>
            <w:pPr>
              <w:jc w:val="center"/>
            </w:pPr>
            <w:r>
              <w:rPr>
                <w:rFonts w:ascii="Calibri" w:hAnsi="Calibri"/>
                <w:sz w:val="18"/>
              </w:rPr>
              <w:t>4K</w:t>
            </w:r>
          </w:p>
        </w:tc>
      </w:tr>
    </w:tbl>
    <w:p/>
    <w:p>
      <w:pPr>
        <w:pStyle w:val="Heading3"/>
      </w:pPr>
      <w:r>
        <w:rPr>
          <w:rFonts w:ascii="Calibri" w:hAnsi="Calibri"/>
          <w:sz w:val="36"/>
        </w:rPr>
        <w:t>Children's profile</w:t>
      </w:r>
    </w:p>
    <w:p>
      <w:r>
        <w:t>A comprehensive understanding of the profile of children in need can be achieved by examining the four primary dimensions of need: Access, Learning Conditions, Protected Environment, and Aggravating Circumstances.</w:t>
      </w:r>
    </w:p>
    <w:p>
      <w:r>
        <w:drawing>
          <wp:inline xmlns:a="http://schemas.openxmlformats.org/drawingml/2006/main" xmlns:pic="http://schemas.openxmlformats.org/drawingml/2006/picture">
            <wp:extent cx="5486400" cy="51721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rizontal_stacked_bar_chart_high_bar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3835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_need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3835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ool_need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5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