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41.9% (i.e. 4.1M)</w:t>
      </w:r>
      <w:r>
        <w:rPr>
          <w:rFonts w:ascii="Calibri" w:hAnsi="Calibri"/>
          <w:sz w:val="32"/>
        </w:rPr>
        <w:t xml:space="preserve"> of school-aged children are in need. Among them:</w:t>
      </w:r>
    </w:p>
    <w:p>
      <w:pPr>
        <w:pStyle w:val="ListBullet"/>
        <w:ind w:left="1440"/>
      </w:pPr>
      <w:r>
        <w:rPr>
          <w:rFonts w:ascii="Calibri" w:hAnsi="Calibri"/>
          <w:sz w:val="32"/>
        </w:rPr>
        <w:t>2.0M are girls and 2.1M are boys;</w:t>
      </w:r>
    </w:p>
    <w:p>
      <w:pPr>
        <w:pStyle w:val="ListBullet"/>
        <w:ind w:left="1440"/>
      </w:pPr>
      <w:r>
        <w:rPr>
          <w:rFonts w:ascii="Calibri" w:hAnsi="Calibri"/>
          <w:sz w:val="32"/>
        </w:rPr>
        <w:t>419.0K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410.3K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446.5K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58.1</w:t>
            </w:r>
          </w:p>
        </w:tc>
        <w:tc>
          <w:tcPr>
            <w:tcW w:type="dxa" w:w="960"/>
            <w:shd w:fill="#ebecc7"/>
            <w:vAlign w:val="center"/>
          </w:tcPr>
          <w:p>
            <w:pPr>
              <w:jc w:val="center"/>
            </w:pPr>
            <w:r>
              <w:t>5.7M</w:t>
            </w:r>
          </w:p>
        </w:tc>
        <w:tc>
          <w:tcPr>
            <w:tcW w:type="dxa" w:w="960"/>
            <w:shd w:fill="#c7d9ec"/>
            <w:vAlign w:val="center"/>
          </w:tcPr>
          <w:p>
            <w:pPr>
              <w:jc w:val="center"/>
            </w:pPr>
            <w:r>
              <w:t>36.0</w:t>
            </w:r>
          </w:p>
        </w:tc>
        <w:tc>
          <w:tcPr>
            <w:tcW w:type="dxa" w:w="960"/>
            <w:shd w:fill="#c7d9ec"/>
            <w:vAlign w:val="center"/>
          </w:tcPr>
          <w:p>
            <w:pPr>
              <w:jc w:val="center"/>
            </w:pPr>
            <w:r>
              <w:t>3.5M</w:t>
            </w:r>
          </w:p>
        </w:tc>
        <w:tc>
          <w:tcPr>
            <w:tcW w:type="dxa" w:w="960"/>
            <w:shd w:fill="#c7ecdb"/>
            <w:vAlign w:val="center"/>
          </w:tcPr>
          <w:p>
            <w:pPr>
              <w:jc w:val="center"/>
            </w:pPr>
            <w:r>
              <w:t>5.8</w:t>
            </w:r>
          </w:p>
        </w:tc>
        <w:tc>
          <w:tcPr>
            <w:tcW w:type="dxa" w:w="960"/>
            <w:shd w:fill="#c7ecdb"/>
            <w:vAlign w:val="center"/>
          </w:tcPr>
          <w:p>
            <w:pPr>
              <w:jc w:val="center"/>
            </w:pPr>
            <w:r>
              <w:t>571.6K</w:t>
            </w:r>
          </w:p>
        </w:tc>
        <w:tc>
          <w:tcPr>
            <w:tcW w:type="dxa" w:w="960"/>
            <w:shd w:fill="#b3d3d4"/>
            <w:vAlign w:val="center"/>
          </w:tcPr>
          <w:p>
            <w:pPr>
              <w:jc w:val="center"/>
            </w:pPr>
            <w:r>
              <w:t>0.1</w:t>
            </w:r>
          </w:p>
        </w:tc>
        <w:tc>
          <w:tcPr>
            <w:tcW w:type="dxa" w:w="960"/>
            <w:shd w:fill="#b3d3d4"/>
            <w:vAlign w:val="center"/>
          </w:tcPr>
          <w:p>
            <w:pPr>
              <w:jc w:val="center"/>
            </w:pPr>
            <w:r>
              <w:t>6.7K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674421"/>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674421"/>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75.7%</w:t>
            </w:r>
          </w:p>
        </w:tc>
        <w:tc>
          <w:tcPr>
            <w:tcW w:type="dxa" w:w="2880"/>
            <w:tcW w:w="700" w:type="dxa"/>
            <w:shd w:fill="#f4a582"/>
          </w:tcPr>
          <w:p>
            <w:pPr>
              <w:jc w:val="center"/>
            </w:pPr>
            <w:r>
              <w:rPr>
                <w:rFonts w:ascii="Calibri" w:hAnsi="Calibri"/>
                <w:sz w:val="22"/>
              </w:rPr>
              <w:t>3.1M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ddbc7"/>
          </w:tcPr>
          <w:p>
            <w:pPr>
              <w:jc w:val="center"/>
            </w:pPr>
            <w:r>
              <w:rPr>
                <w:rFonts w:ascii="Calibri" w:hAnsi="Calibri"/>
                <w:sz w:val="22"/>
              </w:rPr>
              <w:t>10.2%</w:t>
            </w:r>
          </w:p>
        </w:tc>
        <w:tc>
          <w:tcPr>
            <w:tcW w:type="dxa" w:w="2880"/>
            <w:tcW w:w="700" w:type="dxa"/>
            <w:shd w:fill="#fddbc7"/>
          </w:tcPr>
          <w:p>
            <w:pPr>
              <w:jc w:val="center"/>
            </w:pPr>
            <w:r>
              <w:rPr>
                <w:rFonts w:ascii="Calibri" w:hAnsi="Calibri"/>
                <w:sz w:val="22"/>
              </w:rPr>
              <w:t>417.1K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4.7%</w:t>
            </w:r>
          </w:p>
        </w:tc>
        <w:tc>
          <w:tcPr>
            <w:tcW w:type="dxa" w:w="2880"/>
            <w:tcW w:w="700" w:type="dxa"/>
            <w:shd w:fill="#fff7ec"/>
          </w:tcPr>
          <w:p>
            <w:pPr>
              <w:jc w:val="center"/>
            </w:pPr>
            <w:r>
              <w:rPr>
                <w:rFonts w:ascii="Calibri" w:hAnsi="Calibri"/>
                <w:sz w:val="22"/>
              </w:rPr>
              <w:t>191.3K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ee8c8"/>
          </w:tcPr>
          <w:p>
            <w:pPr>
              <w:jc w:val="center"/>
            </w:pPr>
            <w:r>
              <w:rPr>
                <w:rFonts w:ascii="Calibri" w:hAnsi="Calibri"/>
                <w:sz w:val="22"/>
              </w:rPr>
              <w:t>9.4%</w:t>
            </w:r>
          </w:p>
        </w:tc>
        <w:tc>
          <w:tcPr>
            <w:tcW w:type="dxa" w:w="2880"/>
            <w:tcW w:w="700" w:type="dxa"/>
            <w:shd w:fill="#fee8c8"/>
          </w:tcPr>
          <w:p>
            <w:pPr>
              <w:jc w:val="center"/>
            </w:pPr>
            <w:r>
              <w:rPr>
                <w:rFonts w:ascii="Calibri" w:hAnsi="Calibri"/>
                <w:sz w:val="22"/>
              </w:rPr>
              <w:t>386.9K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74.6%</w:t>
            </w:r>
          </w:p>
        </w:tc>
        <w:tc>
          <w:tcPr>
            <w:tcW w:type="dxa" w:w="2880"/>
            <w:tcW w:w="700" w:type="dxa"/>
            <w:shd w:fill="#f4a582"/>
          </w:tcPr>
          <w:p>
            <w:pPr>
              <w:jc w:val="center"/>
            </w:pPr>
            <w:r>
              <w:rPr>
                <w:rFonts w:ascii="Calibri" w:hAnsi="Calibri"/>
                <w:sz w:val="18"/>
              </w:rPr>
              <w:t>1.9M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10.8%</w:t>
            </w:r>
          </w:p>
        </w:tc>
        <w:tc>
          <w:tcPr>
            <w:tcW w:type="dxa" w:w="2880"/>
            <w:tcW w:w="700" w:type="dxa"/>
            <w:shd w:fill="#fddbc7"/>
          </w:tcPr>
          <w:p>
            <w:pPr>
              <w:jc w:val="center"/>
            </w:pPr>
            <w:r>
              <w:rPr>
                <w:rFonts w:ascii="Calibri" w:hAnsi="Calibri"/>
                <w:sz w:val="18"/>
              </w:rPr>
              <w:t>269.8K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4.4%</w:t>
            </w:r>
          </w:p>
        </w:tc>
        <w:tc>
          <w:tcPr>
            <w:tcW w:type="dxa" w:w="2880"/>
            <w:tcW w:w="700" w:type="dxa"/>
            <w:shd w:fill="#fff7ec"/>
          </w:tcPr>
          <w:p>
            <w:pPr>
              <w:jc w:val="center"/>
            </w:pPr>
            <w:r>
              <w:rPr>
                <w:rFonts w:ascii="Calibri" w:hAnsi="Calibri"/>
                <w:sz w:val="18"/>
              </w:rPr>
              <w:t>109.7K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ee8c8"/>
          </w:tcPr>
          <w:p>
            <w:pPr>
              <w:jc w:val="center"/>
            </w:pPr>
            <w:r>
              <w:rPr>
                <w:rFonts w:ascii="Calibri" w:hAnsi="Calibri"/>
                <w:sz w:val="18"/>
              </w:rPr>
              <w:t>10.2%</w:t>
            </w:r>
          </w:p>
        </w:tc>
        <w:tc>
          <w:tcPr>
            <w:tcW w:type="dxa" w:w="2880"/>
            <w:tcW w:w="700" w:type="dxa"/>
            <w:shd w:fill="#fee8c8"/>
          </w:tcPr>
          <w:p>
            <w:pPr>
              <w:jc w:val="center"/>
            </w:pPr>
            <w:r>
              <w:rPr>
                <w:rFonts w:ascii="Calibri" w:hAnsi="Calibri"/>
                <w:sz w:val="18"/>
              </w:rPr>
              <w:t>253.0K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75.1%</w:t>
            </w:r>
          </w:p>
        </w:tc>
        <w:tc>
          <w:tcPr>
            <w:tcW w:type="dxa" w:w="2880"/>
            <w:tcW w:w="700" w:type="dxa"/>
            <w:shd w:fill="#f4a582"/>
          </w:tcPr>
          <w:p>
            <w:pPr>
              <w:jc w:val="center"/>
            </w:pPr>
            <w:r>
              <w:rPr>
                <w:rFonts w:ascii="Calibri" w:hAnsi="Calibri"/>
                <w:sz w:val="18"/>
              </w:rPr>
              <w:t>873.4K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8.9%</w:t>
            </w:r>
          </w:p>
        </w:tc>
        <w:tc>
          <w:tcPr>
            <w:tcW w:type="dxa" w:w="2880"/>
            <w:tcW w:w="700" w:type="dxa"/>
            <w:shd w:fill="#fee8c8"/>
          </w:tcPr>
          <w:p>
            <w:pPr>
              <w:jc w:val="center"/>
            </w:pPr>
            <w:r>
              <w:rPr>
                <w:rFonts w:ascii="Calibri" w:hAnsi="Calibri"/>
                <w:sz w:val="18"/>
              </w:rPr>
              <w:t>103.0K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6.1%</w:t>
            </w:r>
          </w:p>
        </w:tc>
        <w:tc>
          <w:tcPr>
            <w:tcW w:type="dxa" w:w="2880"/>
            <w:tcW w:w="700" w:type="dxa"/>
            <w:shd w:fill="#fff7ec"/>
          </w:tcPr>
          <w:p>
            <w:pPr>
              <w:jc w:val="center"/>
            </w:pPr>
            <w:r>
              <w:rPr>
                <w:rFonts w:ascii="Calibri" w:hAnsi="Calibri"/>
                <w:sz w:val="18"/>
              </w:rPr>
              <w:t>70.6K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10.0%</w:t>
            </w:r>
          </w:p>
        </w:tc>
        <w:tc>
          <w:tcPr>
            <w:tcW w:type="dxa" w:w="2880"/>
            <w:tcW w:w="700" w:type="dxa"/>
            <w:shd w:fill="#fddbc7"/>
          </w:tcPr>
          <w:p>
            <w:pPr>
              <w:jc w:val="center"/>
            </w:pPr>
            <w:r>
              <w:rPr>
                <w:rFonts w:ascii="Calibri" w:hAnsi="Calibri"/>
                <w:sz w:val="18"/>
              </w:rPr>
              <w:t>116.5K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(446.5K):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83.7%</w:t>
            </w:r>
          </w:p>
        </w:tc>
        <w:tc>
          <w:tcPr>
            <w:tcW w:type="dxa" w:w="2880"/>
            <w:tcW w:w="700" w:type="dxa"/>
            <w:shd w:fill="#f4a582"/>
          </w:tcPr>
          <w:p>
            <w:pPr>
              <w:jc w:val="center"/>
            </w:pPr>
            <w:r>
              <w:rPr>
                <w:rFonts w:ascii="Calibri" w:hAnsi="Calibri"/>
                <w:sz w:val="18"/>
              </w:rPr>
              <w:t>373.7K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9.9%</w:t>
            </w:r>
          </w:p>
        </w:tc>
        <w:tc>
          <w:tcPr>
            <w:tcW w:type="dxa" w:w="2880"/>
            <w:tcW w:w="700" w:type="dxa"/>
            <w:shd w:fill="#fddbc7"/>
          </w:tcPr>
          <w:p>
            <w:pPr>
              <w:jc w:val="center"/>
            </w:pPr>
            <w:r>
              <w:rPr>
                <w:rFonts w:ascii="Calibri" w:hAnsi="Calibri"/>
                <w:sz w:val="18"/>
              </w:rPr>
              <w:t>44.4K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2.5%</w:t>
            </w:r>
          </w:p>
        </w:tc>
        <w:tc>
          <w:tcPr>
            <w:tcW w:type="dxa" w:w="2880"/>
            <w:tcW w:w="700" w:type="dxa"/>
            <w:shd w:fill="#fff7ec"/>
          </w:tcPr>
          <w:p>
            <w:pPr>
              <w:jc w:val="center"/>
            </w:pPr>
            <w:r>
              <w:rPr>
                <w:rFonts w:ascii="Calibri" w:hAnsi="Calibri"/>
                <w:sz w:val="18"/>
              </w:rPr>
              <w:t>11.1K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ee8c8"/>
          </w:tcPr>
          <w:p>
            <w:pPr>
              <w:jc w:val="center"/>
            </w:pPr>
            <w:r>
              <w:rPr>
                <w:rFonts w:ascii="Calibri" w:hAnsi="Calibri"/>
                <w:sz w:val="18"/>
              </w:rPr>
              <w:t>3.9%</w:t>
            </w:r>
          </w:p>
        </w:tc>
        <w:tc>
          <w:tcPr>
            <w:tcW w:type="dxa" w:w="2880"/>
            <w:tcW w:w="700" w:type="dxa"/>
            <w:shd w:fill="#fee8c8"/>
          </w:tcPr>
          <w:p>
            <w:pPr>
              <w:jc w:val="center"/>
            </w:pPr>
            <w:r>
              <w:rPr>
                <w:rFonts w:ascii="Calibri" w:hAnsi="Calibri"/>
                <w:sz w:val="18"/>
              </w:rPr>
              <w:t>17.4K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439756"/>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439756"/>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