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42.2% (i.e. 4.1M)</w:t>
      </w:r>
      <w:r>
        <w:rPr>
          <w:rFonts w:ascii="Calibri" w:hAnsi="Calibri"/>
          <w:sz w:val="32"/>
        </w:rPr>
        <w:t xml:space="preserve"> of school-aged children are in need. Among them:</w:t>
      </w:r>
    </w:p>
    <w:p>
      <w:pPr>
        <w:pStyle w:val="ListBullet"/>
        <w:ind w:left="1440"/>
      </w:pPr>
      <w:r>
        <w:rPr>
          <w:rFonts w:ascii="Calibri" w:hAnsi="Calibri"/>
          <w:sz w:val="32"/>
        </w:rPr>
        <w:t>2.0M are girls and 2.2M are boys;</w:t>
      </w:r>
    </w:p>
    <w:p>
      <w:pPr>
        <w:pStyle w:val="ListBullet"/>
        <w:ind w:left="1440"/>
      </w:pPr>
      <w:r>
        <w:rPr>
          <w:rFonts w:ascii="Calibri" w:hAnsi="Calibri"/>
          <w:sz w:val="32"/>
        </w:rPr>
        <w:t>422.0K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413.3K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452.3K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57.8</w:t>
            </w:r>
          </w:p>
        </w:tc>
        <w:tc>
          <w:tcPr>
            <w:tcW w:type="dxa" w:w="960"/>
            <w:shd w:fill="#ebecc7"/>
            <w:vAlign w:val="center"/>
          </w:tcPr>
          <w:p>
            <w:pPr>
              <w:jc w:val="center"/>
            </w:pPr>
            <w:r>
              <w:t>5.7M</w:t>
            </w:r>
          </w:p>
        </w:tc>
        <w:tc>
          <w:tcPr>
            <w:tcW w:type="dxa" w:w="960"/>
            <w:shd w:fill="#c7d9ec"/>
            <w:vAlign w:val="center"/>
          </w:tcPr>
          <w:p>
            <w:pPr>
              <w:jc w:val="center"/>
            </w:pPr>
            <w:r>
              <w:t>31.8</w:t>
            </w:r>
          </w:p>
        </w:tc>
        <w:tc>
          <w:tcPr>
            <w:tcW w:type="dxa" w:w="960"/>
            <w:shd w:fill="#c7d9ec"/>
            <w:vAlign w:val="center"/>
          </w:tcPr>
          <w:p>
            <w:pPr>
              <w:jc w:val="center"/>
            </w:pPr>
            <w:r>
              <w:t>3.1M</w:t>
            </w:r>
          </w:p>
        </w:tc>
        <w:tc>
          <w:tcPr>
            <w:tcW w:type="dxa" w:w="960"/>
            <w:shd w:fill="#c7ecdb"/>
            <w:vAlign w:val="center"/>
          </w:tcPr>
          <w:p>
            <w:pPr>
              <w:jc w:val="center"/>
            </w:pPr>
            <w:r>
              <w:t>9.2</w:t>
            </w:r>
          </w:p>
        </w:tc>
        <w:tc>
          <w:tcPr>
            <w:tcW w:type="dxa" w:w="960"/>
            <w:shd w:fill="#c7ecdb"/>
            <w:vAlign w:val="center"/>
          </w:tcPr>
          <w:p>
            <w:pPr>
              <w:jc w:val="center"/>
            </w:pPr>
            <w:r>
              <w:t>899.2K</w:t>
            </w:r>
          </w:p>
        </w:tc>
        <w:tc>
          <w:tcPr>
            <w:tcW w:type="dxa" w:w="960"/>
            <w:shd w:fill="#b3d3d4"/>
            <w:vAlign w:val="center"/>
          </w:tcPr>
          <w:p>
            <w:pPr>
              <w:jc w:val="center"/>
            </w:pPr>
            <w:r>
              <w:t>1.3</w:t>
            </w:r>
          </w:p>
        </w:tc>
        <w:tc>
          <w:tcPr>
            <w:tcW w:type="dxa" w:w="960"/>
            <w:shd w:fill="#b3d3d4"/>
            <w:vAlign w:val="center"/>
          </w:tcPr>
          <w:p>
            <w:pPr>
              <w:jc w:val="center"/>
            </w:pPr>
            <w:r>
              <w:t>125.7K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761300"/>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761300"/>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4a582"/>
          </w:tcPr>
          <w:p>
            <w:pPr>
              <w:jc w:val="center"/>
            </w:pPr>
            <w:r>
              <w:rPr>
                <w:rFonts w:ascii="Calibri" w:hAnsi="Calibri"/>
                <w:sz w:val="22"/>
              </w:rPr>
              <w:t>65.4%</w:t>
            </w:r>
          </w:p>
        </w:tc>
        <w:tc>
          <w:tcPr>
            <w:tcW w:type="dxa" w:w="2880"/>
            <w:tcW w:w="700" w:type="dxa"/>
            <w:shd w:fill="#f4a582"/>
          </w:tcPr>
          <w:p>
            <w:pPr>
              <w:jc w:val="center"/>
            </w:pPr>
            <w:r>
              <w:rPr>
                <w:rFonts w:ascii="Calibri" w:hAnsi="Calibri"/>
                <w:sz w:val="22"/>
              </w:rPr>
              <w:t>2.7M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ee8c8"/>
          </w:tcPr>
          <w:p>
            <w:pPr>
              <w:jc w:val="center"/>
            </w:pPr>
            <w:r>
              <w:rPr>
                <w:rFonts w:ascii="Calibri" w:hAnsi="Calibri"/>
                <w:sz w:val="22"/>
              </w:rPr>
              <w:t>9.8%</w:t>
            </w:r>
          </w:p>
        </w:tc>
        <w:tc>
          <w:tcPr>
            <w:tcW w:type="dxa" w:w="2880"/>
            <w:tcW w:w="700" w:type="dxa"/>
            <w:shd w:fill="#fee8c8"/>
          </w:tcPr>
          <w:p>
            <w:pPr>
              <w:jc w:val="center"/>
            </w:pPr>
            <w:r>
              <w:rPr>
                <w:rFonts w:ascii="Calibri" w:hAnsi="Calibri"/>
                <w:sz w:val="22"/>
              </w:rPr>
              <w:t>403.4K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5.7%</w:t>
            </w:r>
          </w:p>
        </w:tc>
        <w:tc>
          <w:tcPr>
            <w:tcW w:type="dxa" w:w="2880"/>
            <w:tcW w:w="700" w:type="dxa"/>
            <w:shd w:fill="#fff7ec"/>
          </w:tcPr>
          <w:p>
            <w:pPr>
              <w:jc w:val="center"/>
            </w:pPr>
            <w:r>
              <w:rPr>
                <w:rFonts w:ascii="Calibri" w:hAnsi="Calibri"/>
                <w:sz w:val="22"/>
              </w:rPr>
              <w:t>235.8K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ddbc7"/>
          </w:tcPr>
          <w:p>
            <w:pPr>
              <w:jc w:val="center"/>
            </w:pPr>
            <w:r>
              <w:rPr>
                <w:rFonts w:ascii="Calibri" w:hAnsi="Calibri"/>
                <w:sz w:val="22"/>
              </w:rPr>
              <w:t>19.1%</w:t>
            </w:r>
          </w:p>
        </w:tc>
        <w:tc>
          <w:tcPr>
            <w:tcW w:type="dxa" w:w="2880"/>
            <w:tcW w:w="700" w:type="dxa"/>
            <w:shd w:fill="#fddbc7"/>
          </w:tcPr>
          <w:p>
            <w:pPr>
              <w:jc w:val="center"/>
            </w:pPr>
            <w:r>
              <w:rPr>
                <w:rFonts w:ascii="Calibri" w:hAnsi="Calibri"/>
                <w:sz w:val="22"/>
              </w:rPr>
              <w:t>789.1K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62.9%</w:t>
            </w:r>
          </w:p>
        </w:tc>
        <w:tc>
          <w:tcPr>
            <w:tcW w:type="dxa" w:w="2880"/>
            <w:tcW w:w="700" w:type="dxa"/>
            <w:shd w:fill="#f4a582"/>
          </w:tcPr>
          <w:p>
            <w:pPr>
              <w:jc w:val="center"/>
            </w:pPr>
            <w:r>
              <w:rPr>
                <w:rFonts w:ascii="Calibri" w:hAnsi="Calibri"/>
                <w:sz w:val="18"/>
              </w:rPr>
              <w:t>1.6M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10.6%</w:t>
            </w:r>
          </w:p>
        </w:tc>
        <w:tc>
          <w:tcPr>
            <w:tcW w:type="dxa" w:w="2880"/>
            <w:tcW w:w="700" w:type="dxa"/>
            <w:shd w:fill="#fee8c8"/>
          </w:tcPr>
          <w:p>
            <w:pPr>
              <w:jc w:val="center"/>
            </w:pPr>
            <w:r>
              <w:rPr>
                <w:rFonts w:ascii="Calibri" w:hAnsi="Calibri"/>
                <w:sz w:val="18"/>
              </w:rPr>
              <w:t>264.9K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4.7%</w:t>
            </w:r>
          </w:p>
        </w:tc>
        <w:tc>
          <w:tcPr>
            <w:tcW w:type="dxa" w:w="2880"/>
            <w:tcW w:w="700" w:type="dxa"/>
            <w:shd w:fill="#fff7ec"/>
          </w:tcPr>
          <w:p>
            <w:pPr>
              <w:jc w:val="center"/>
            </w:pPr>
            <w:r>
              <w:rPr>
                <w:rFonts w:ascii="Calibri" w:hAnsi="Calibri"/>
                <w:sz w:val="18"/>
              </w:rPr>
              <w:t>118.0K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21.7%</w:t>
            </w:r>
          </w:p>
        </w:tc>
        <w:tc>
          <w:tcPr>
            <w:tcW w:type="dxa" w:w="2880"/>
            <w:tcW w:w="700" w:type="dxa"/>
            <w:shd w:fill="#fddbc7"/>
          </w:tcPr>
          <w:p>
            <w:pPr>
              <w:jc w:val="center"/>
            </w:pPr>
            <w:r>
              <w:rPr>
                <w:rFonts w:ascii="Calibri" w:hAnsi="Calibri"/>
                <w:sz w:val="18"/>
              </w:rPr>
              <w:t>541.9K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67.0%</w:t>
            </w:r>
          </w:p>
        </w:tc>
        <w:tc>
          <w:tcPr>
            <w:tcW w:type="dxa" w:w="2880"/>
            <w:tcW w:w="700" w:type="dxa"/>
            <w:shd w:fill="#f4a582"/>
          </w:tcPr>
          <w:p>
            <w:pPr>
              <w:jc w:val="center"/>
            </w:pPr>
            <w:r>
              <w:rPr>
                <w:rFonts w:ascii="Calibri" w:hAnsi="Calibri"/>
                <w:sz w:val="18"/>
              </w:rPr>
              <w:t>793.8K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ff7ec"/>
          </w:tcPr>
          <w:p>
            <w:pPr>
              <w:jc w:val="center"/>
            </w:pPr>
            <w:r>
              <w:rPr>
                <w:rFonts w:ascii="Calibri" w:hAnsi="Calibri"/>
                <w:sz w:val="18"/>
              </w:rPr>
              <w:t>8.1%</w:t>
            </w:r>
          </w:p>
        </w:tc>
        <w:tc>
          <w:tcPr>
            <w:tcW w:type="dxa" w:w="2880"/>
            <w:tcW w:w="700" w:type="dxa"/>
            <w:shd w:fill="#fff7ec"/>
          </w:tcPr>
          <w:p>
            <w:pPr>
              <w:jc w:val="center"/>
            </w:pPr>
            <w:r>
              <w:rPr>
                <w:rFonts w:ascii="Calibri" w:hAnsi="Calibri"/>
                <w:sz w:val="18"/>
              </w:rPr>
              <w:t>95.7K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ee8c8"/>
          </w:tcPr>
          <w:p>
            <w:pPr>
              <w:jc w:val="center"/>
            </w:pPr>
            <w:r>
              <w:rPr>
                <w:rFonts w:ascii="Calibri" w:hAnsi="Calibri"/>
                <w:sz w:val="18"/>
              </w:rPr>
              <w:t>8.4%</w:t>
            </w:r>
          </w:p>
        </w:tc>
        <w:tc>
          <w:tcPr>
            <w:tcW w:type="dxa" w:w="2880"/>
            <w:tcW w:w="700" w:type="dxa"/>
            <w:shd w:fill="#fee8c8"/>
          </w:tcPr>
          <w:p>
            <w:pPr>
              <w:jc w:val="center"/>
            </w:pPr>
            <w:r>
              <w:rPr>
                <w:rFonts w:ascii="Calibri" w:hAnsi="Calibri"/>
                <w:sz w:val="18"/>
              </w:rPr>
              <w:t>99.3K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16.5%</w:t>
            </w:r>
          </w:p>
        </w:tc>
        <w:tc>
          <w:tcPr>
            <w:tcW w:type="dxa" w:w="2880"/>
            <w:tcW w:w="700" w:type="dxa"/>
            <w:shd w:fill="#fddbc7"/>
          </w:tcPr>
          <w:p>
            <w:pPr>
              <w:jc w:val="center"/>
            </w:pPr>
            <w:r>
              <w:rPr>
                <w:rFonts w:ascii="Calibri" w:hAnsi="Calibri"/>
                <w:sz w:val="18"/>
              </w:rPr>
              <w:t>196.1K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(452.3K):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75.2%</w:t>
            </w:r>
          </w:p>
        </w:tc>
        <w:tc>
          <w:tcPr>
            <w:tcW w:type="dxa" w:w="2880"/>
            <w:tcW w:w="700" w:type="dxa"/>
            <w:shd w:fill="#f4a582"/>
          </w:tcPr>
          <w:p>
            <w:pPr>
              <w:jc w:val="center"/>
            </w:pPr>
            <w:r>
              <w:rPr>
                <w:rFonts w:ascii="Calibri" w:hAnsi="Calibri"/>
                <w:sz w:val="18"/>
              </w:rPr>
              <w:t>339.9K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9.5%</w:t>
            </w:r>
          </w:p>
        </w:tc>
        <w:tc>
          <w:tcPr>
            <w:tcW w:type="dxa" w:w="2880"/>
            <w:tcW w:w="700" w:type="dxa"/>
            <w:shd w:fill="#fee8c8"/>
          </w:tcPr>
          <w:p>
            <w:pPr>
              <w:jc w:val="center"/>
            </w:pPr>
            <w:r>
              <w:rPr>
                <w:rFonts w:ascii="Calibri" w:hAnsi="Calibri"/>
                <w:sz w:val="18"/>
              </w:rPr>
              <w:t>42.8K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4.1%</w:t>
            </w:r>
          </w:p>
        </w:tc>
        <w:tc>
          <w:tcPr>
            <w:tcW w:type="dxa" w:w="2880"/>
            <w:tcW w:w="700" w:type="dxa"/>
            <w:shd w:fill="#fff7ec"/>
          </w:tcPr>
          <w:p>
            <w:pPr>
              <w:jc w:val="center"/>
            </w:pPr>
            <w:r>
              <w:rPr>
                <w:rFonts w:ascii="Calibri" w:hAnsi="Calibri"/>
                <w:sz w:val="18"/>
              </w:rPr>
              <w:t>18.5K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11.3%</w:t>
            </w:r>
          </w:p>
        </w:tc>
        <w:tc>
          <w:tcPr>
            <w:tcW w:type="dxa" w:w="2880"/>
            <w:tcW w:w="700" w:type="dxa"/>
            <w:shd w:fill="#fddbc7"/>
          </w:tcPr>
          <w:p>
            <w:pPr>
              <w:jc w:val="center"/>
            </w:pPr>
            <w:r>
              <w:rPr>
                <w:rFonts w:ascii="Calibri" w:hAnsi="Calibri"/>
                <w:sz w:val="18"/>
              </w:rPr>
              <w:t>51.1K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439756"/>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439756"/>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