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Lemuria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Lemuria</w:t>
      </w:r>
    </w:p>
    <w:p/>
    <w:p>
      <w:r>
        <w:rPr>
          <w:rFonts w:ascii="Calibri" w:hAnsi="Calibri"/>
          <w:b/>
          <w:color w:val="569697"/>
          <w:sz w:val="32"/>
        </w:rPr>
        <w:t>41.9% (i.e. 4.1M)</w:t>
      </w:r>
      <w:r>
        <w:rPr>
          <w:rFonts w:ascii="Calibri" w:hAnsi="Calibri"/>
          <w:sz w:val="32"/>
        </w:rPr>
        <w:t xml:space="preserve"> of school-aged children are in need. Among them:</w:t>
      </w:r>
    </w:p>
    <w:p>
      <w:pPr>
        <w:pStyle w:val="ListBullet"/>
        <w:ind w:left="1440"/>
      </w:pPr>
      <w:r>
        <w:rPr>
          <w:rFonts w:ascii="Calibri" w:hAnsi="Calibri"/>
          <w:sz w:val="32"/>
        </w:rPr>
        <w:t>2.0M are girls and 2.1M are boys;</w:t>
      </w:r>
    </w:p>
    <w:p>
      <w:pPr>
        <w:pStyle w:val="ListBullet"/>
        <w:ind w:left="1440"/>
      </w:pPr>
      <w:r>
        <w:rPr>
          <w:rFonts w:ascii="Calibri" w:hAnsi="Calibri"/>
          <w:sz w:val="32"/>
        </w:rPr>
        <w:t>419.0K are 5 years old (ECE);</w:t>
      </w:r>
    </w:p>
    <w:p>
      <w:pPr>
        <w:pStyle w:val="ListBullet"/>
        <w:ind w:left="1440"/>
      </w:pPr>
      <w:r>
        <w:rPr>
          <w:rFonts w:ascii="Calibri" w:hAnsi="Calibri"/>
          <w:sz w:val="32"/>
        </w:rPr>
        <w:t>3.7M are between 6 and 17 years old;</w:t>
      </w:r>
    </w:p>
    <w:p>
      <w:pPr>
        <w:pStyle w:val="ListBullet"/>
        <w:ind w:left="1440"/>
      </w:pPr>
      <w:r>
        <w:rPr>
          <w:rFonts w:ascii="Calibri" w:hAnsi="Calibri"/>
          <w:sz w:val="32"/>
        </w:rPr>
        <w:t>410.3K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HOST</w:t>
            </w:r>
          </w:p>
        </w:tc>
        <w:tc>
          <w:tcPr>
            <w:tcW w:type="dxa" w:w="4320"/>
            <w:tcW w:w="5000" w:type="dxa"/>
          </w:tcPr>
          <w:p>
            <w:pPr>
              <w:jc w:val="center"/>
            </w:pPr>
            <w:r>
              <w:rPr>
                <w:rFonts w:ascii="Calibri" w:hAnsi="Calibri"/>
                <w:sz w:val="24"/>
              </w:rPr>
              <w:t>2.5M</w:t>
            </w:r>
          </w:p>
        </w:tc>
      </w:tr>
      <w:tr>
        <w:trPr>
          <w:trHeight w:val="300" w:hRule="exact"/>
        </w:trPr>
        <w:tc>
          <w:tcPr>
            <w:tcW w:type="dxa" w:w="4320"/>
            <w:tcW w:w="1000" w:type="dxa"/>
          </w:tcPr>
          <w:p>
            <w:pPr>
              <w:jc w:val="center"/>
            </w:pPr>
            <w:r>
              <w:rPr>
                <w:rFonts w:ascii="Calibri" w:hAnsi="Calibri"/>
                <w:sz w:val="24"/>
              </w:rPr>
              <w:t>IDP</w:t>
            </w:r>
          </w:p>
        </w:tc>
        <w:tc>
          <w:tcPr>
            <w:tcW w:type="dxa" w:w="4320"/>
            <w:tcW w:w="5000" w:type="dxa"/>
          </w:tcPr>
          <w:p>
            <w:pPr>
              <w:jc w:val="center"/>
            </w:pPr>
            <w:r>
              <w:rPr>
                <w:rFonts w:ascii="Calibri" w:hAnsi="Calibri"/>
                <w:sz w:val="24"/>
              </w:rPr>
              <w:t>1.2M</w:t>
            </w:r>
          </w:p>
        </w:tc>
      </w:tr>
      <w:tr>
        <w:trPr>
          <w:trHeight w:val="300" w:hRule="exact"/>
        </w:trPr>
        <w:tc>
          <w:tcPr>
            <w:tcW w:type="dxa" w:w="4320"/>
            <w:tcW w:w="1000" w:type="dxa"/>
          </w:tcPr>
          <w:p>
            <w:pPr>
              <w:jc w:val="center"/>
            </w:pPr>
            <w:r>
              <w:rPr>
                <w:rFonts w:ascii="Calibri" w:hAnsi="Calibri"/>
                <w:sz w:val="24"/>
              </w:rPr>
              <w:t>RET</w:t>
            </w:r>
          </w:p>
        </w:tc>
        <w:tc>
          <w:tcPr>
            <w:tcW w:type="dxa" w:w="4320"/>
            <w:tcW w:w="5000" w:type="dxa"/>
          </w:tcPr>
          <w:p>
            <w:pPr>
              <w:jc w:val="center"/>
            </w:pPr>
            <w:r>
              <w:rPr>
                <w:rFonts w:ascii="Calibri" w:hAnsi="Calibri"/>
                <w:sz w:val="24"/>
              </w:rPr>
              <w:t>446.5K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4.1M</w:t>
            </w:r>
          </w:p>
        </w:tc>
      </w:tr>
    </w:tbl>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School-aged children PiN</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Severity levels 1-2</w:t>
            </w:r>
          </w:p>
        </w:tc>
        <w:tc>
          <w:tcPr>
            <w:tcW w:type="dxa" w:w="1920"/>
            <w:gridSpan w:val="2"/>
            <w:vAlign w:val="center"/>
            <w:shd w:fill="#c7d9ec"/>
            <w:shd w:fill="#c7d9ec"/>
            <w:vAlign w:val="center"/>
            <w:vAlign w:val="center"/>
          </w:tcPr>
          <w:p>
            <w:pPr>
              <w:jc w:val="center"/>
            </w:pPr>
            <w:r>
              <w:rPr>
                <w:rFonts w:ascii="Calibri" w:hAnsi="Calibri"/>
                <w:b w:val="0"/>
                <w:sz w:val="22"/>
              </w:rPr>
              <w:t>Severity level 3</w:t>
            </w:r>
          </w:p>
        </w:tc>
        <w:tc>
          <w:tcPr>
            <w:tcW w:type="dxa" w:w="1920"/>
            <w:gridSpan w:val="2"/>
            <w:vAlign w:val="center"/>
            <w:shd w:fill="#c7ecdb"/>
            <w:shd w:fill="#c7ecdb"/>
            <w:vAlign w:val="center"/>
            <w:vAlign w:val="center"/>
          </w:tcPr>
          <w:p>
            <w:pPr>
              <w:jc w:val="center"/>
            </w:pPr>
            <w:r>
              <w:rPr>
                <w:rFonts w:ascii="Calibri" w:hAnsi="Calibri"/>
                <w:b w:val="0"/>
                <w:sz w:val="22"/>
              </w:rPr>
              <w:t>Severity level 4</w:t>
            </w:r>
          </w:p>
        </w:tc>
        <w:tc>
          <w:tcPr>
            <w:tcW w:type="dxa" w:w="1920"/>
            <w:gridSpan w:val="2"/>
            <w:vAlign w:val="center"/>
            <w:shd w:fill="#b3d3d4"/>
            <w:shd w:fill="#b3d3d4"/>
            <w:vAlign w:val="center"/>
            <w:vAlign w:val="center"/>
          </w:tcPr>
          <w:p>
            <w:pPr>
              <w:jc w:val="center"/>
            </w:pPr>
            <w:r>
              <w:rPr>
                <w:rFonts w:ascii="Calibri" w:hAnsi="Calibri"/>
                <w:b w:val="0"/>
                <w:sz w:val="22"/>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9.8M</w:t>
            </w:r>
          </w:p>
        </w:tc>
        <w:tc>
          <w:tcPr>
            <w:tcW w:type="dxa" w:w="960"/>
            <w:shd w:fill="#ebecc7"/>
            <w:vAlign w:val="center"/>
          </w:tcPr>
          <w:p>
            <w:pPr>
              <w:jc w:val="center"/>
            </w:pPr>
            <w:r>
              <w:t>58.1</w:t>
            </w:r>
          </w:p>
        </w:tc>
        <w:tc>
          <w:tcPr>
            <w:tcW w:type="dxa" w:w="960"/>
            <w:shd w:fill="#ebecc7"/>
            <w:vAlign w:val="center"/>
          </w:tcPr>
          <w:p>
            <w:pPr>
              <w:jc w:val="center"/>
            </w:pPr>
            <w:r>
              <w:t>5.7M</w:t>
            </w:r>
          </w:p>
        </w:tc>
        <w:tc>
          <w:tcPr>
            <w:tcW w:type="dxa" w:w="960"/>
            <w:shd w:fill="#c7d9ec"/>
            <w:vAlign w:val="center"/>
          </w:tcPr>
          <w:p>
            <w:pPr>
              <w:jc w:val="center"/>
            </w:pPr>
            <w:r>
              <w:t>7.5</w:t>
            </w:r>
          </w:p>
        </w:tc>
        <w:tc>
          <w:tcPr>
            <w:tcW w:type="dxa" w:w="960"/>
            <w:shd w:fill="#c7d9ec"/>
            <w:vAlign w:val="center"/>
          </w:tcPr>
          <w:p>
            <w:pPr>
              <w:jc w:val="center"/>
            </w:pPr>
            <w:r>
              <w:t>730.6K</w:t>
            </w:r>
          </w:p>
        </w:tc>
        <w:tc>
          <w:tcPr>
            <w:tcW w:type="dxa" w:w="960"/>
            <w:shd w:fill="#c7ecdb"/>
            <w:vAlign w:val="center"/>
          </w:tcPr>
          <w:p>
            <w:pPr>
              <w:jc w:val="center"/>
            </w:pPr>
            <w:r>
              <w:t>32.5</w:t>
            </w:r>
          </w:p>
        </w:tc>
        <w:tc>
          <w:tcPr>
            <w:tcW w:type="dxa" w:w="960"/>
            <w:shd w:fill="#c7ecdb"/>
            <w:vAlign w:val="center"/>
          </w:tcPr>
          <w:p>
            <w:pPr>
              <w:jc w:val="center"/>
            </w:pPr>
            <w:r>
              <w:t>3.2M</w:t>
            </w:r>
          </w:p>
        </w:tc>
        <w:tc>
          <w:tcPr>
            <w:tcW w:type="dxa" w:w="960"/>
            <w:shd w:fill="#b3d3d4"/>
            <w:vAlign w:val="center"/>
          </w:tcPr>
          <w:p>
            <w:pPr>
              <w:jc w:val="center"/>
            </w:pPr>
            <w:r>
              <w:t>1.9</w:t>
            </w:r>
          </w:p>
        </w:tc>
        <w:tc>
          <w:tcPr>
            <w:tcW w:type="dxa" w:w="960"/>
            <w:shd w:fill="#b3d3d4"/>
            <w:vAlign w:val="center"/>
          </w:tcPr>
          <w:p>
            <w:pPr>
              <w:jc w:val="center"/>
            </w:pPr>
            <w:r>
              <w:t>187.8K</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674421"/>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674421"/>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(4.1M):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ee8c8"/>
          </w:tcPr>
          <w:p>
            <w:pPr>
              <w:jc w:val="center"/>
            </w:pPr>
            <w:r>
              <w:rPr>
                <w:rFonts w:ascii="Calibri" w:hAnsi="Calibri"/>
                <w:sz w:val="22"/>
              </w:rPr>
              <w:t>7.6%</w:t>
            </w:r>
          </w:p>
        </w:tc>
        <w:tc>
          <w:tcPr>
            <w:tcW w:type="dxa" w:w="2880"/>
            <w:tcW w:w="700" w:type="dxa"/>
            <w:shd w:fill="#fee8c8"/>
          </w:tcPr>
          <w:p>
            <w:pPr>
              <w:jc w:val="center"/>
            </w:pPr>
            <w:r>
              <w:rPr>
                <w:rFonts w:ascii="Calibri" w:hAnsi="Calibri"/>
                <w:sz w:val="22"/>
              </w:rPr>
              <w:t>313.5K</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ddbc7"/>
          </w:tcPr>
          <w:p>
            <w:pPr>
              <w:jc w:val="center"/>
            </w:pPr>
            <w:r>
              <w:rPr>
                <w:rFonts w:ascii="Calibri" w:hAnsi="Calibri"/>
                <w:sz w:val="22"/>
              </w:rPr>
              <w:t>10.2%</w:t>
            </w:r>
          </w:p>
        </w:tc>
        <w:tc>
          <w:tcPr>
            <w:tcW w:type="dxa" w:w="2880"/>
            <w:tcW w:w="700" w:type="dxa"/>
            <w:shd w:fill="#fddbc7"/>
          </w:tcPr>
          <w:p>
            <w:pPr>
              <w:jc w:val="center"/>
            </w:pPr>
            <w:r>
              <w:rPr>
                <w:rFonts w:ascii="Calibri" w:hAnsi="Calibri"/>
                <w:sz w:val="22"/>
              </w:rPr>
              <w:t>417.1K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ff7ec"/>
          </w:tcPr>
          <w:p>
            <w:pPr>
              <w:jc w:val="center"/>
            </w:pPr>
            <w:r>
              <w:rPr>
                <w:rFonts w:ascii="Calibri" w:hAnsi="Calibri"/>
                <w:sz w:val="22"/>
              </w:rPr>
              <w:t>4.7%</w:t>
            </w:r>
          </w:p>
        </w:tc>
        <w:tc>
          <w:tcPr>
            <w:tcW w:type="dxa" w:w="2880"/>
            <w:tcW w:w="700" w:type="dxa"/>
            <w:shd w:fill="#fff7ec"/>
          </w:tcPr>
          <w:p>
            <w:pPr>
              <w:jc w:val="center"/>
            </w:pPr>
            <w:r>
              <w:rPr>
                <w:rFonts w:ascii="Calibri" w:hAnsi="Calibri"/>
                <w:sz w:val="22"/>
              </w:rPr>
              <w:t>191.3K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4a582"/>
          </w:tcPr>
          <w:p>
            <w:pPr>
              <w:jc w:val="center"/>
            </w:pPr>
            <w:r>
              <w:rPr>
                <w:rFonts w:ascii="Calibri" w:hAnsi="Calibri"/>
                <w:sz w:val="22"/>
              </w:rPr>
              <w:t>77.5%</w:t>
            </w:r>
          </w:p>
        </w:tc>
        <w:tc>
          <w:tcPr>
            <w:tcW w:type="dxa" w:w="2880"/>
            <w:tcW w:w="700" w:type="dxa"/>
            <w:shd w:fill="#f4a582"/>
          </w:tcPr>
          <w:p>
            <w:pPr>
              <w:jc w:val="center"/>
            </w:pPr>
            <w:r>
              <w:rPr>
                <w:rFonts w:ascii="Calibri" w:hAnsi="Calibri"/>
                <w:sz w:val="22"/>
              </w:rPr>
              <w:t>3.2M</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HOST children in need (2.5M):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ee8c8"/>
          </w:tcPr>
          <w:p>
            <w:pPr>
              <w:jc w:val="center"/>
            </w:pPr>
            <w:r>
              <w:rPr>
                <w:rFonts w:ascii="Calibri" w:hAnsi="Calibri"/>
                <w:sz w:val="18"/>
              </w:rPr>
              <w:t>8.5%</w:t>
            </w:r>
          </w:p>
        </w:tc>
        <w:tc>
          <w:tcPr>
            <w:tcW w:type="dxa" w:w="2880"/>
            <w:tcW w:w="700" w:type="dxa"/>
            <w:shd w:fill="#fee8c8"/>
          </w:tcPr>
          <w:p>
            <w:pPr>
              <w:jc w:val="center"/>
            </w:pPr>
            <w:r>
              <w:rPr>
                <w:rFonts w:ascii="Calibri" w:hAnsi="Calibri"/>
                <w:sz w:val="18"/>
              </w:rPr>
              <w:t>211.9K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ddbc7"/>
          </w:tcPr>
          <w:p>
            <w:pPr>
              <w:jc w:val="center"/>
            </w:pPr>
            <w:r>
              <w:rPr>
                <w:rFonts w:ascii="Calibri" w:hAnsi="Calibri"/>
                <w:sz w:val="18"/>
              </w:rPr>
              <w:t>10.8%</w:t>
            </w:r>
          </w:p>
        </w:tc>
        <w:tc>
          <w:tcPr>
            <w:tcW w:type="dxa" w:w="2880"/>
            <w:tcW w:w="700" w:type="dxa"/>
            <w:shd w:fill="#fddbc7"/>
          </w:tcPr>
          <w:p>
            <w:pPr>
              <w:jc w:val="center"/>
            </w:pPr>
            <w:r>
              <w:rPr>
                <w:rFonts w:ascii="Calibri" w:hAnsi="Calibri"/>
                <w:sz w:val="18"/>
              </w:rPr>
              <w:t>269.8K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4.4%</w:t>
            </w:r>
          </w:p>
        </w:tc>
        <w:tc>
          <w:tcPr>
            <w:tcW w:type="dxa" w:w="2880"/>
            <w:tcW w:w="700" w:type="dxa"/>
            <w:shd w:fill="#fff7ec"/>
          </w:tcPr>
          <w:p>
            <w:pPr>
              <w:jc w:val="center"/>
            </w:pPr>
            <w:r>
              <w:rPr>
                <w:rFonts w:ascii="Calibri" w:hAnsi="Calibri"/>
                <w:sz w:val="18"/>
              </w:rPr>
              <w:t>109.7K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76.3%</w:t>
            </w:r>
          </w:p>
        </w:tc>
        <w:tc>
          <w:tcPr>
            <w:tcW w:type="dxa" w:w="2880"/>
            <w:tcW w:w="700" w:type="dxa"/>
            <w:shd w:fill="#f4a582"/>
          </w:tcPr>
          <w:p>
            <w:pPr>
              <w:jc w:val="center"/>
            </w:pPr>
            <w:r>
              <w:rPr>
                <w:rFonts w:ascii="Calibri" w:hAnsi="Calibri"/>
                <w:sz w:val="18"/>
              </w:rPr>
              <w:t>1.9M</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IDP children in need (1.2M):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ee8c8"/>
          </w:tcPr>
          <w:p>
            <w:pPr>
              <w:jc w:val="center"/>
            </w:pPr>
            <w:r>
              <w:rPr>
                <w:rFonts w:ascii="Calibri" w:hAnsi="Calibri"/>
                <w:sz w:val="18"/>
              </w:rPr>
              <w:t>7.1%</w:t>
            </w:r>
          </w:p>
        </w:tc>
        <w:tc>
          <w:tcPr>
            <w:tcW w:type="dxa" w:w="2880"/>
            <w:tcW w:w="700" w:type="dxa"/>
            <w:shd w:fill="#fee8c8"/>
          </w:tcPr>
          <w:p>
            <w:pPr>
              <w:jc w:val="center"/>
            </w:pPr>
            <w:r>
              <w:rPr>
                <w:rFonts w:ascii="Calibri" w:hAnsi="Calibri"/>
                <w:sz w:val="18"/>
              </w:rPr>
              <w:t>82.9K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ddbc7"/>
          </w:tcPr>
          <w:p>
            <w:pPr>
              <w:jc w:val="center"/>
            </w:pPr>
            <w:r>
              <w:rPr>
                <w:rFonts w:ascii="Calibri" w:hAnsi="Calibri"/>
                <w:sz w:val="18"/>
              </w:rPr>
              <w:t>8.9%</w:t>
            </w:r>
          </w:p>
        </w:tc>
        <w:tc>
          <w:tcPr>
            <w:tcW w:type="dxa" w:w="2880"/>
            <w:tcW w:w="700" w:type="dxa"/>
            <w:shd w:fill="#fddbc7"/>
          </w:tcPr>
          <w:p>
            <w:pPr>
              <w:jc w:val="center"/>
            </w:pPr>
            <w:r>
              <w:rPr>
                <w:rFonts w:ascii="Calibri" w:hAnsi="Calibri"/>
                <w:sz w:val="18"/>
              </w:rPr>
              <w:t>103.0K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6.1%</w:t>
            </w:r>
          </w:p>
        </w:tc>
        <w:tc>
          <w:tcPr>
            <w:tcW w:type="dxa" w:w="2880"/>
            <w:tcW w:w="700" w:type="dxa"/>
            <w:shd w:fill="#fff7ec"/>
          </w:tcPr>
          <w:p>
            <w:pPr>
              <w:jc w:val="center"/>
            </w:pPr>
            <w:r>
              <w:rPr>
                <w:rFonts w:ascii="Calibri" w:hAnsi="Calibri"/>
                <w:sz w:val="18"/>
              </w:rPr>
              <w:t>70.6K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78.0%</w:t>
            </w:r>
          </w:p>
        </w:tc>
        <w:tc>
          <w:tcPr>
            <w:tcW w:type="dxa" w:w="2880"/>
            <w:tcW w:w="700" w:type="dxa"/>
            <w:shd w:fill="#f4a582"/>
          </w:tcPr>
          <w:p>
            <w:pPr>
              <w:jc w:val="center"/>
            </w:pPr>
            <w:r>
              <w:rPr>
                <w:rFonts w:ascii="Calibri" w:hAnsi="Calibri"/>
                <w:sz w:val="18"/>
              </w:rPr>
              <w:t>907.0K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RET children in need (446.5K):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ee8c8"/>
          </w:tcPr>
          <w:p>
            <w:pPr>
              <w:jc w:val="center"/>
            </w:pPr>
            <w:r>
              <w:rPr>
                <w:rFonts w:ascii="Calibri" w:hAnsi="Calibri"/>
                <w:sz w:val="18"/>
              </w:rPr>
              <w:t>4.2%</w:t>
            </w:r>
          </w:p>
        </w:tc>
        <w:tc>
          <w:tcPr>
            <w:tcW w:type="dxa" w:w="2880"/>
            <w:tcW w:w="700" w:type="dxa"/>
            <w:shd w:fill="#fee8c8"/>
          </w:tcPr>
          <w:p>
            <w:pPr>
              <w:jc w:val="center"/>
            </w:pPr>
            <w:r>
              <w:rPr>
                <w:rFonts w:ascii="Calibri" w:hAnsi="Calibri"/>
                <w:sz w:val="18"/>
              </w:rPr>
              <w:t>18.8K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ddbc7"/>
          </w:tcPr>
          <w:p>
            <w:pPr>
              <w:jc w:val="center"/>
            </w:pPr>
            <w:r>
              <w:rPr>
                <w:rFonts w:ascii="Calibri" w:hAnsi="Calibri"/>
                <w:sz w:val="18"/>
              </w:rPr>
              <w:t>9.9%</w:t>
            </w:r>
          </w:p>
        </w:tc>
        <w:tc>
          <w:tcPr>
            <w:tcW w:type="dxa" w:w="2880"/>
            <w:tcW w:w="700" w:type="dxa"/>
            <w:shd w:fill="#fddbc7"/>
          </w:tcPr>
          <w:p>
            <w:pPr>
              <w:jc w:val="center"/>
            </w:pPr>
            <w:r>
              <w:rPr>
                <w:rFonts w:ascii="Calibri" w:hAnsi="Calibri"/>
                <w:sz w:val="18"/>
              </w:rPr>
              <w:t>44.4K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2.5%</w:t>
            </w:r>
          </w:p>
        </w:tc>
        <w:tc>
          <w:tcPr>
            <w:tcW w:type="dxa" w:w="2880"/>
            <w:tcW w:w="700" w:type="dxa"/>
            <w:shd w:fill="#fff7ec"/>
          </w:tcPr>
          <w:p>
            <w:pPr>
              <w:jc w:val="center"/>
            </w:pPr>
            <w:r>
              <w:rPr>
                <w:rFonts w:ascii="Calibri" w:hAnsi="Calibri"/>
                <w:sz w:val="18"/>
              </w:rPr>
              <w:t>11.1K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4a582"/>
          </w:tcPr>
          <w:p>
            <w:pPr>
              <w:jc w:val="center"/>
            </w:pPr>
            <w:r>
              <w:rPr>
                <w:rFonts w:ascii="Calibri" w:hAnsi="Calibri"/>
                <w:sz w:val="18"/>
              </w:rPr>
              <w:t>83.4%</w:t>
            </w:r>
          </w:p>
        </w:tc>
        <w:tc>
          <w:tcPr>
            <w:tcW w:type="dxa" w:w="2880"/>
            <w:tcW w:w="700" w:type="dxa"/>
            <w:shd w:fill="#f4a582"/>
          </w:tcPr>
          <w:p>
            <w:pPr>
              <w:jc w:val="center"/>
            </w:pPr>
            <w:r>
              <w:rPr>
                <w:rFonts w:ascii="Calibri" w:hAnsi="Calibri"/>
                <w:sz w:val="18"/>
              </w:rPr>
              <w:t>372.3K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664368"/>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64368"/>
                    </a:xfrm>
                    <a:prstGeom prst="rect"/>
                  </pic:spPr>
                </pic:pic>
              </a:graphicData>
            </a:graphic>
          </wp:inline>
        </w:drawing>
      </w:r>
    </w:p>
    <w:p>
      <w:r>
        <w:drawing>
          <wp:inline xmlns:a="http://schemas.openxmlformats.org/drawingml/2006/main" xmlns:pic="http://schemas.openxmlformats.org/drawingml/2006/picture">
            <wp:extent cx="4572000" cy="2742370"/>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742370"/>
                    </a:xfrm>
                    <a:prstGeom prst="rect"/>
                  </pic:spPr>
                </pic:pic>
              </a:graphicData>
            </a:graphic>
          </wp:inline>
        </w:drawing>
      </w:r>
    </w:p>
    <w:p>
      <w:r>
        <w:drawing>
          <wp:inline xmlns:a="http://schemas.openxmlformats.org/drawingml/2006/main" xmlns:pic="http://schemas.openxmlformats.org/drawingml/2006/picture">
            <wp:extent cx="4572000" cy="2742370"/>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74237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