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42.2% (i.e. 4.1M)</w:t>
      </w:r>
      <w:r>
        <w:rPr>
          <w:rFonts w:ascii="Calibri" w:hAnsi="Calibri"/>
          <w:sz w:val="32"/>
        </w:rPr>
        <w:t xml:space="preserve"> of school-aged children are in need. Among them:</w:t>
      </w:r>
    </w:p>
    <w:p>
      <w:pPr>
        <w:pStyle w:val="ListBullet"/>
        <w:ind w:left="1440"/>
      </w:pPr>
      <w:r>
        <w:rPr>
          <w:rFonts w:ascii="Calibri" w:hAnsi="Calibri"/>
          <w:sz w:val="32"/>
        </w:rPr>
        <w:t>2.0M are girls and 2.2M are boys;</w:t>
      </w:r>
    </w:p>
    <w:p>
      <w:pPr>
        <w:pStyle w:val="ListBullet"/>
        <w:ind w:left="1440"/>
      </w:pPr>
      <w:r>
        <w:rPr>
          <w:rFonts w:ascii="Calibri" w:hAnsi="Calibri"/>
          <w:sz w:val="32"/>
        </w:rPr>
        <w:t>422.0K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413.3K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452.3K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57.8</w:t>
            </w:r>
          </w:p>
        </w:tc>
        <w:tc>
          <w:tcPr>
            <w:tcW w:type="dxa" w:w="960"/>
            <w:shd w:fill="#ebecc7"/>
            <w:vAlign w:val="center"/>
          </w:tcPr>
          <w:p>
            <w:pPr>
              <w:jc w:val="center"/>
            </w:pPr>
            <w:r>
              <w:t>5.7M</w:t>
            </w:r>
          </w:p>
        </w:tc>
        <w:tc>
          <w:tcPr>
            <w:tcW w:type="dxa" w:w="960"/>
            <w:shd w:fill="#c7d9ec"/>
            <w:vAlign w:val="center"/>
          </w:tcPr>
          <w:p>
            <w:pPr>
              <w:jc w:val="center"/>
            </w:pPr>
            <w:r>
              <w:t>37.6</w:t>
            </w:r>
          </w:p>
        </w:tc>
        <w:tc>
          <w:tcPr>
            <w:tcW w:type="dxa" w:w="960"/>
            <w:shd w:fill="#c7d9ec"/>
            <w:vAlign w:val="center"/>
          </w:tcPr>
          <w:p>
            <w:pPr>
              <w:jc w:val="center"/>
            </w:pPr>
            <w:r>
              <w:t>3.7M</w:t>
            </w:r>
          </w:p>
        </w:tc>
        <w:tc>
          <w:tcPr>
            <w:tcW w:type="dxa" w:w="960"/>
            <w:shd w:fill="#c7ecdb"/>
            <w:vAlign w:val="center"/>
          </w:tcPr>
          <w:p>
            <w:pPr>
              <w:jc w:val="center"/>
            </w:pPr>
            <w:r>
              <w:t>3.5</w:t>
            </w:r>
          </w:p>
        </w:tc>
        <w:tc>
          <w:tcPr>
            <w:tcW w:type="dxa" w:w="960"/>
            <w:shd w:fill="#c7ecdb"/>
            <w:vAlign w:val="center"/>
          </w:tcPr>
          <w:p>
            <w:pPr>
              <w:jc w:val="center"/>
            </w:pPr>
            <w:r>
              <w:t>343.0K</w:t>
            </w:r>
          </w:p>
        </w:tc>
        <w:tc>
          <w:tcPr>
            <w:tcW w:type="dxa" w:w="960"/>
            <w:shd w:fill="#b3d3d4"/>
            <w:vAlign w:val="center"/>
          </w:tcPr>
          <w:p>
            <w:pPr>
              <w:jc w:val="center"/>
            </w:pPr>
            <w:r>
              <w:t>1.1</w:t>
            </w:r>
          </w:p>
        </w:tc>
        <w:tc>
          <w:tcPr>
            <w:tcW w:type="dxa" w:w="960"/>
            <w:shd w:fill="#b3d3d4"/>
            <w:vAlign w:val="center"/>
          </w:tcPr>
          <w:p>
            <w:pPr>
              <w:jc w:val="center"/>
            </w:pPr>
            <w:r>
              <w:t>107.7K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674421"/>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674421"/>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or 5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4a582"/>
          </w:tcPr>
          <w:p>
            <w:pPr>
              <w:jc w:val="center"/>
            </w:pPr>
            <w:r>
              <w:rPr>
                <w:rFonts w:ascii="Calibri" w:hAnsi="Calibri"/>
                <w:sz w:val="22"/>
              </w:rPr>
              <w:t>79.3%</w:t>
            </w:r>
          </w:p>
        </w:tc>
        <w:tc>
          <w:tcPr>
            <w:tcW w:type="dxa" w:w="2880"/>
            <w:tcW w:w="700" w:type="dxa"/>
            <w:shd w:fill="#f4a582"/>
          </w:tcPr>
          <w:p>
            <w:pPr>
              <w:jc w:val="center"/>
            </w:pPr>
            <w:r>
              <w:rPr>
                <w:rFonts w:ascii="Calibri" w:hAnsi="Calibri"/>
                <w:sz w:val="22"/>
              </w:rPr>
              <w:t>3.3M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ddbc7"/>
          </w:tcPr>
          <w:p>
            <w:pPr>
              <w:jc w:val="center"/>
            </w:pPr>
            <w:r>
              <w:rPr>
                <w:rFonts w:ascii="Calibri" w:hAnsi="Calibri"/>
                <w:sz w:val="22"/>
              </w:rPr>
              <w:t>9.8%</w:t>
            </w:r>
          </w:p>
        </w:tc>
        <w:tc>
          <w:tcPr>
            <w:tcW w:type="dxa" w:w="2880"/>
            <w:tcW w:w="700" w:type="dxa"/>
            <w:shd w:fill="#fddbc7"/>
          </w:tcPr>
          <w:p>
            <w:pPr>
              <w:jc w:val="center"/>
            </w:pPr>
            <w:r>
              <w:rPr>
                <w:rFonts w:ascii="Calibri" w:hAnsi="Calibri"/>
                <w:sz w:val="22"/>
              </w:rPr>
              <w:t>403.4K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ee8c8"/>
          </w:tcPr>
          <w:p>
            <w:pPr>
              <w:jc w:val="center"/>
            </w:pPr>
            <w:r>
              <w:rPr>
                <w:rFonts w:ascii="Calibri" w:hAnsi="Calibri"/>
                <w:sz w:val="22"/>
              </w:rPr>
              <w:t>5.7%</w:t>
            </w:r>
          </w:p>
        </w:tc>
        <w:tc>
          <w:tcPr>
            <w:tcW w:type="dxa" w:w="2880"/>
            <w:tcW w:w="700" w:type="dxa"/>
            <w:shd w:fill="#fee8c8"/>
          </w:tcPr>
          <w:p>
            <w:pPr>
              <w:jc w:val="center"/>
            </w:pPr>
            <w:r>
              <w:rPr>
                <w:rFonts w:ascii="Calibri" w:hAnsi="Calibri"/>
                <w:sz w:val="22"/>
              </w:rPr>
              <w:t>235.8K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ff7ec"/>
          </w:tcPr>
          <w:p>
            <w:pPr>
              <w:jc w:val="center"/>
            </w:pPr>
            <w:r>
              <w:rPr>
                <w:rFonts w:ascii="Calibri" w:hAnsi="Calibri"/>
                <w:sz w:val="22"/>
              </w:rPr>
              <w:t>5.2%</w:t>
            </w:r>
          </w:p>
        </w:tc>
        <w:tc>
          <w:tcPr>
            <w:tcW w:type="dxa" w:w="2880"/>
            <w:tcW w:w="700" w:type="dxa"/>
            <w:shd w:fill="#fff7ec"/>
          </w:tcPr>
          <w:p>
            <w:pPr>
              <w:jc w:val="center"/>
            </w:pPr>
            <w:r>
              <w:rPr>
                <w:rFonts w:ascii="Calibri" w:hAnsi="Calibri"/>
                <w:sz w:val="22"/>
              </w:rPr>
              <w:t>214.9K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79.5%</w:t>
            </w:r>
          </w:p>
        </w:tc>
        <w:tc>
          <w:tcPr>
            <w:tcW w:type="dxa" w:w="2880"/>
            <w:tcW w:w="700" w:type="dxa"/>
            <w:shd w:fill="#f4a582"/>
          </w:tcPr>
          <w:p>
            <w:pPr>
              <w:jc w:val="center"/>
            </w:pPr>
            <w:r>
              <w:rPr>
                <w:rFonts w:ascii="Calibri" w:hAnsi="Calibri"/>
                <w:sz w:val="18"/>
              </w:rPr>
              <w:t>2.0M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10.6%</w:t>
            </w:r>
          </w:p>
        </w:tc>
        <w:tc>
          <w:tcPr>
            <w:tcW w:type="dxa" w:w="2880"/>
            <w:tcW w:w="700" w:type="dxa"/>
            <w:shd w:fill="#fddbc7"/>
          </w:tcPr>
          <w:p>
            <w:pPr>
              <w:jc w:val="center"/>
            </w:pPr>
            <w:r>
              <w:rPr>
                <w:rFonts w:ascii="Calibri" w:hAnsi="Calibri"/>
                <w:sz w:val="18"/>
              </w:rPr>
              <w:t>264.9K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4.7%</w:t>
            </w:r>
          </w:p>
        </w:tc>
        <w:tc>
          <w:tcPr>
            <w:tcW w:type="dxa" w:w="2880"/>
            <w:tcW w:w="700" w:type="dxa"/>
            <w:shd w:fill="#fff7ec"/>
          </w:tcPr>
          <w:p>
            <w:pPr>
              <w:jc w:val="center"/>
            </w:pPr>
            <w:r>
              <w:rPr>
                <w:rFonts w:ascii="Calibri" w:hAnsi="Calibri"/>
                <w:sz w:val="18"/>
              </w:rPr>
              <w:t>118.0K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ee8c8"/>
          </w:tcPr>
          <w:p>
            <w:pPr>
              <w:jc w:val="center"/>
            </w:pPr>
            <w:r>
              <w:rPr>
                <w:rFonts w:ascii="Calibri" w:hAnsi="Calibri"/>
                <w:sz w:val="18"/>
              </w:rPr>
              <w:t>5.2%</w:t>
            </w:r>
          </w:p>
        </w:tc>
        <w:tc>
          <w:tcPr>
            <w:tcW w:type="dxa" w:w="2880"/>
            <w:tcW w:w="700" w:type="dxa"/>
            <w:shd w:fill="#fee8c8"/>
          </w:tcPr>
          <w:p>
            <w:pPr>
              <w:jc w:val="center"/>
            </w:pPr>
            <w:r>
              <w:rPr>
                <w:rFonts w:ascii="Calibri" w:hAnsi="Calibri"/>
                <w:sz w:val="18"/>
              </w:rPr>
              <w:t>129.1K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80.4%</w:t>
            </w:r>
          </w:p>
        </w:tc>
        <w:tc>
          <w:tcPr>
            <w:tcW w:type="dxa" w:w="2880"/>
            <w:tcW w:w="700" w:type="dxa"/>
            <w:shd w:fill="#f4a582"/>
          </w:tcPr>
          <w:p>
            <w:pPr>
              <w:jc w:val="center"/>
            </w:pPr>
            <w:r>
              <w:rPr>
                <w:rFonts w:ascii="Calibri" w:hAnsi="Calibri"/>
                <w:sz w:val="18"/>
              </w:rPr>
              <w:t>952.7K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8.1%</w:t>
            </w:r>
          </w:p>
        </w:tc>
        <w:tc>
          <w:tcPr>
            <w:tcW w:type="dxa" w:w="2880"/>
            <w:tcW w:w="700" w:type="dxa"/>
            <w:shd w:fill="#fee8c8"/>
          </w:tcPr>
          <w:p>
            <w:pPr>
              <w:jc w:val="center"/>
            </w:pPr>
            <w:r>
              <w:rPr>
                <w:rFonts w:ascii="Calibri" w:hAnsi="Calibri"/>
                <w:sz w:val="18"/>
              </w:rPr>
              <w:t>95.7K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ddbc7"/>
          </w:tcPr>
          <w:p>
            <w:pPr>
              <w:jc w:val="center"/>
            </w:pPr>
            <w:r>
              <w:rPr>
                <w:rFonts w:ascii="Calibri" w:hAnsi="Calibri"/>
                <w:sz w:val="18"/>
              </w:rPr>
              <w:t>8.4%</w:t>
            </w:r>
          </w:p>
        </w:tc>
        <w:tc>
          <w:tcPr>
            <w:tcW w:type="dxa" w:w="2880"/>
            <w:tcW w:w="700" w:type="dxa"/>
            <w:shd w:fill="#fddbc7"/>
          </w:tcPr>
          <w:p>
            <w:pPr>
              <w:jc w:val="center"/>
            </w:pPr>
            <w:r>
              <w:rPr>
                <w:rFonts w:ascii="Calibri" w:hAnsi="Calibri"/>
                <w:sz w:val="18"/>
              </w:rPr>
              <w:t>99.3K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ff7ec"/>
          </w:tcPr>
          <w:p>
            <w:pPr>
              <w:jc w:val="center"/>
            </w:pPr>
            <w:r>
              <w:rPr>
                <w:rFonts w:ascii="Calibri" w:hAnsi="Calibri"/>
                <w:sz w:val="18"/>
              </w:rPr>
              <w:t>3.1%</w:t>
            </w:r>
          </w:p>
        </w:tc>
        <w:tc>
          <w:tcPr>
            <w:tcW w:type="dxa" w:w="2880"/>
            <w:tcW w:w="700" w:type="dxa"/>
            <w:shd w:fill="#fff7ec"/>
          </w:tcPr>
          <w:p>
            <w:pPr>
              <w:jc w:val="center"/>
            </w:pPr>
            <w:r>
              <w:rPr>
                <w:rFonts w:ascii="Calibri" w:hAnsi="Calibri"/>
                <w:sz w:val="18"/>
              </w:rPr>
              <w:t>37.1K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(452.3K):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75.7%</w:t>
            </w:r>
          </w:p>
        </w:tc>
        <w:tc>
          <w:tcPr>
            <w:tcW w:type="dxa" w:w="2880"/>
            <w:tcW w:w="700" w:type="dxa"/>
            <w:shd w:fill="#f4a582"/>
          </w:tcPr>
          <w:p>
            <w:pPr>
              <w:jc w:val="center"/>
            </w:pPr>
            <w:r>
              <w:rPr>
                <w:rFonts w:ascii="Calibri" w:hAnsi="Calibri"/>
                <w:sz w:val="18"/>
              </w:rPr>
              <w:t>342.4K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9.5%</w:t>
            </w:r>
          </w:p>
        </w:tc>
        <w:tc>
          <w:tcPr>
            <w:tcW w:type="dxa" w:w="2880"/>
            <w:tcW w:w="700" w:type="dxa"/>
            <w:shd w:fill="#fee8c8"/>
          </w:tcPr>
          <w:p>
            <w:pPr>
              <w:jc w:val="center"/>
            </w:pPr>
            <w:r>
              <w:rPr>
                <w:rFonts w:ascii="Calibri" w:hAnsi="Calibri"/>
                <w:sz w:val="18"/>
              </w:rPr>
              <w:t>42.8K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4.1%</w:t>
            </w:r>
          </w:p>
        </w:tc>
        <w:tc>
          <w:tcPr>
            <w:tcW w:type="dxa" w:w="2880"/>
            <w:tcW w:w="700" w:type="dxa"/>
            <w:shd w:fill="#fff7ec"/>
          </w:tcPr>
          <w:p>
            <w:pPr>
              <w:jc w:val="center"/>
            </w:pPr>
            <w:r>
              <w:rPr>
                <w:rFonts w:ascii="Calibri" w:hAnsi="Calibri"/>
                <w:sz w:val="18"/>
              </w:rPr>
              <w:t>18.5K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10.8%</w:t>
            </w:r>
          </w:p>
        </w:tc>
        <w:tc>
          <w:tcPr>
            <w:tcW w:type="dxa" w:w="2880"/>
            <w:tcW w:w="700" w:type="dxa"/>
            <w:shd w:fill="#fddbc7"/>
          </w:tcPr>
          <w:p>
            <w:pPr>
              <w:jc w:val="center"/>
            </w:pPr>
            <w:r>
              <w:rPr>
                <w:rFonts w:ascii="Calibri" w:hAnsi="Calibri"/>
                <w:sz w:val="18"/>
              </w:rPr>
              <w:t>48.7K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664368"/>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64368"/>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