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44.1% (i.e. 4.3M)</w:t>
      </w:r>
      <w:r>
        <w:rPr>
          <w:rFonts w:ascii="Calibri" w:hAnsi="Calibri"/>
          <w:sz w:val="32"/>
        </w:rPr>
        <w:t xml:space="preserve"> of school-aged children are in need. Among them:</w:t>
      </w:r>
    </w:p>
    <w:p>
      <w:pPr>
        <w:pStyle w:val="ListBullet"/>
        <w:ind w:left="1440"/>
      </w:pPr>
      <w:r>
        <w:rPr>
          <w:rFonts w:ascii="Calibri" w:hAnsi="Calibri"/>
          <w:sz w:val="32"/>
        </w:rPr>
        <w:t>2.1M are girls and 2.2M are boys;</w:t>
      </w:r>
    </w:p>
    <w:p>
      <w:pPr>
        <w:pStyle w:val="ListBullet"/>
        <w:ind w:left="1440"/>
      </w:pPr>
      <w:r>
        <w:rPr>
          <w:rFonts w:ascii="Calibri" w:hAnsi="Calibri"/>
          <w:sz w:val="32"/>
        </w:rPr>
        <w:t>441.8K are 5 years old (ECE);</w:t>
      </w:r>
    </w:p>
    <w:p>
      <w:pPr>
        <w:pStyle w:val="ListBullet"/>
        <w:ind w:left="1440"/>
      </w:pPr>
      <w:r>
        <w:rPr>
          <w:rFonts w:ascii="Calibri" w:hAnsi="Calibri"/>
          <w:sz w:val="32"/>
        </w:rPr>
        <w:t>3.9M are between 6 and 17 years old;</w:t>
      </w:r>
    </w:p>
    <w:p>
      <w:pPr>
        <w:pStyle w:val="ListBullet"/>
        <w:ind w:left="1440"/>
      </w:pPr>
      <w:r>
        <w:rPr>
          <w:rFonts w:ascii="Calibri" w:hAnsi="Calibri"/>
          <w:sz w:val="32"/>
        </w:rPr>
        <w:t>431.6K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2.6M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462.5K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4.3M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55.9</w:t>
            </w:r>
          </w:p>
        </w:tc>
        <w:tc>
          <w:tcPr>
            <w:tcW w:type="dxa" w:w="960"/>
            <w:shd w:fill="#ebecc7"/>
            <w:vAlign w:val="center"/>
          </w:tcPr>
          <w:p>
            <w:pPr>
              <w:jc w:val="center"/>
            </w:pPr>
            <w:r>
              <w:t>5.5M</w:t>
            </w:r>
          </w:p>
        </w:tc>
        <w:tc>
          <w:tcPr>
            <w:tcW w:type="dxa" w:w="960"/>
            <w:shd w:fill="#c7d9ec"/>
            <w:vAlign w:val="center"/>
          </w:tcPr>
          <w:p>
            <w:pPr>
              <w:jc w:val="center"/>
            </w:pPr>
            <w:r>
              <w:t>19.5</w:t>
            </w:r>
          </w:p>
        </w:tc>
        <w:tc>
          <w:tcPr>
            <w:tcW w:type="dxa" w:w="960"/>
            <w:shd w:fill="#c7d9ec"/>
            <w:vAlign w:val="center"/>
          </w:tcPr>
          <w:p>
            <w:pPr>
              <w:jc w:val="center"/>
            </w:pPr>
            <w:r>
              <w:t>1.9M</w:t>
            </w:r>
          </w:p>
        </w:tc>
        <w:tc>
          <w:tcPr>
            <w:tcW w:type="dxa" w:w="960"/>
            <w:shd w:fill="#c7ecdb"/>
            <w:vAlign w:val="center"/>
          </w:tcPr>
          <w:p>
            <w:pPr>
              <w:jc w:val="center"/>
            </w:pPr>
            <w:r>
              <w:t>1.5</w:t>
            </w:r>
          </w:p>
        </w:tc>
        <w:tc>
          <w:tcPr>
            <w:tcW w:type="dxa" w:w="960"/>
            <w:shd w:fill="#c7ecdb"/>
            <w:vAlign w:val="center"/>
          </w:tcPr>
          <w:p>
            <w:pPr>
              <w:jc w:val="center"/>
            </w:pPr>
            <w:r>
              <w:t>143.2K</w:t>
            </w:r>
          </w:p>
        </w:tc>
        <w:tc>
          <w:tcPr>
            <w:tcW w:type="dxa" w:w="960"/>
            <w:shd w:fill="#b3d3d4"/>
            <w:vAlign w:val="center"/>
          </w:tcPr>
          <w:p>
            <w:pPr>
              <w:jc w:val="center"/>
            </w:pPr>
            <w:r>
              <w:t>23.2</w:t>
            </w:r>
          </w:p>
        </w:tc>
        <w:tc>
          <w:tcPr>
            <w:tcW w:type="dxa" w:w="960"/>
            <w:shd w:fill="#b3d3d4"/>
            <w:vAlign w:val="center"/>
          </w:tcPr>
          <w:p>
            <w:pPr>
              <w:jc w:val="center"/>
            </w:pPr>
            <w:r>
              <w:t>2.3M</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849627"/>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849627"/>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or 5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(4.3M):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ddbc7"/>
          </w:tcPr>
          <w:p>
            <w:pPr>
              <w:jc w:val="center"/>
            </w:pPr>
            <w:r>
              <w:rPr>
                <w:rFonts w:ascii="Calibri" w:hAnsi="Calibri"/>
                <w:sz w:val="22"/>
              </w:rPr>
              <w:t>35.0%</w:t>
            </w:r>
          </w:p>
        </w:tc>
        <w:tc>
          <w:tcPr>
            <w:tcW w:type="dxa" w:w="2880"/>
            <w:tcW w:w="700" w:type="dxa"/>
            <w:shd w:fill="#fddbc7"/>
          </w:tcPr>
          <w:p>
            <w:pPr>
              <w:jc w:val="center"/>
            </w:pPr>
            <w:r>
              <w:rPr>
                <w:rFonts w:ascii="Calibri" w:hAnsi="Calibri"/>
                <w:sz w:val="22"/>
              </w:rPr>
              <w:t>1.5M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9.2%</w:t>
            </w:r>
          </w:p>
        </w:tc>
        <w:tc>
          <w:tcPr>
            <w:tcW w:type="dxa" w:w="2880"/>
            <w:tcW w:w="700" w:type="dxa"/>
            <w:shd w:fill="#fee8c8"/>
          </w:tcPr>
          <w:p>
            <w:pPr>
              <w:jc w:val="center"/>
            </w:pPr>
            <w:r>
              <w:rPr>
                <w:rFonts w:ascii="Calibri" w:hAnsi="Calibri"/>
                <w:sz w:val="22"/>
              </w:rPr>
              <w:t>397.4K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5.5%</w:t>
            </w:r>
          </w:p>
        </w:tc>
        <w:tc>
          <w:tcPr>
            <w:tcW w:type="dxa" w:w="2880"/>
            <w:tcW w:w="700" w:type="dxa"/>
            <w:shd w:fill="#fff7ec"/>
          </w:tcPr>
          <w:p>
            <w:pPr>
              <w:jc w:val="center"/>
            </w:pPr>
            <w:r>
              <w:rPr>
                <w:rFonts w:ascii="Calibri" w:hAnsi="Calibri"/>
                <w:sz w:val="22"/>
              </w:rPr>
              <w:t>239.5K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4a582"/>
          </w:tcPr>
          <w:p>
            <w:pPr>
              <w:jc w:val="center"/>
            </w:pPr>
            <w:r>
              <w:rPr>
                <w:rFonts w:ascii="Calibri" w:hAnsi="Calibri"/>
                <w:sz w:val="22"/>
              </w:rPr>
              <w:t>50.3%</w:t>
            </w:r>
          </w:p>
        </w:tc>
        <w:tc>
          <w:tcPr>
            <w:tcW w:type="dxa" w:w="2880"/>
            <w:tcW w:w="700" w:type="dxa"/>
            <w:shd w:fill="#f4a582"/>
          </w:tcPr>
          <w:p>
            <w:pPr>
              <w:jc w:val="center"/>
            </w:pPr>
            <w:r>
              <w:rPr>
                <w:rFonts w:ascii="Calibri" w:hAnsi="Calibri"/>
                <w:sz w:val="22"/>
              </w:rPr>
              <w:t>2.2M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(2.6M):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ddbc7"/>
          </w:tcPr>
          <w:p>
            <w:pPr>
              <w:jc w:val="center"/>
            </w:pPr>
            <w:r>
              <w:rPr>
                <w:rFonts w:ascii="Calibri" w:hAnsi="Calibri"/>
                <w:sz w:val="18"/>
              </w:rPr>
              <w:t>39.3%</w:t>
            </w:r>
          </w:p>
        </w:tc>
        <w:tc>
          <w:tcPr>
            <w:tcW w:type="dxa" w:w="2880"/>
            <w:tcW w:w="700" w:type="dxa"/>
            <w:shd w:fill="#fddbc7"/>
          </w:tcPr>
          <w:p>
            <w:pPr>
              <w:jc w:val="center"/>
            </w:pPr>
            <w:r>
              <w:rPr>
                <w:rFonts w:ascii="Calibri" w:hAnsi="Calibri"/>
                <w:sz w:val="18"/>
              </w:rPr>
              <w:t>1.0M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9.9%</w:t>
            </w:r>
          </w:p>
        </w:tc>
        <w:tc>
          <w:tcPr>
            <w:tcW w:type="dxa" w:w="2880"/>
            <w:tcW w:w="700" w:type="dxa"/>
            <w:shd w:fill="#fee8c8"/>
          </w:tcPr>
          <w:p>
            <w:pPr>
              <w:jc w:val="center"/>
            </w:pPr>
            <w:r>
              <w:rPr>
                <w:rFonts w:ascii="Calibri" w:hAnsi="Calibri"/>
                <w:sz w:val="18"/>
              </w:rPr>
              <w:t>261.0K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4.6%</w:t>
            </w:r>
          </w:p>
        </w:tc>
        <w:tc>
          <w:tcPr>
            <w:tcW w:type="dxa" w:w="2880"/>
            <w:tcW w:w="700" w:type="dxa"/>
            <w:shd w:fill="#fff7ec"/>
          </w:tcPr>
          <w:p>
            <w:pPr>
              <w:jc w:val="center"/>
            </w:pPr>
            <w:r>
              <w:rPr>
                <w:rFonts w:ascii="Calibri" w:hAnsi="Calibri"/>
                <w:sz w:val="18"/>
              </w:rPr>
              <w:t>121.3K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46.3%</w:t>
            </w:r>
          </w:p>
        </w:tc>
        <w:tc>
          <w:tcPr>
            <w:tcW w:type="dxa" w:w="2880"/>
            <w:tcW w:w="700" w:type="dxa"/>
            <w:shd w:fill="#f4a582"/>
          </w:tcPr>
          <w:p>
            <w:pPr>
              <w:jc w:val="center"/>
            </w:pPr>
            <w:r>
              <w:rPr>
                <w:rFonts w:ascii="Calibri" w:hAnsi="Calibri"/>
                <w:sz w:val="18"/>
              </w:rPr>
              <w:t>1.2M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ddbc7"/>
          </w:tcPr>
          <w:p>
            <w:pPr>
              <w:jc w:val="center"/>
            </w:pPr>
            <w:r>
              <w:rPr>
                <w:rFonts w:ascii="Calibri" w:hAnsi="Calibri"/>
                <w:sz w:val="18"/>
              </w:rPr>
              <w:t>27.6%</w:t>
            </w:r>
          </w:p>
        </w:tc>
        <w:tc>
          <w:tcPr>
            <w:tcW w:type="dxa" w:w="2880"/>
            <w:tcW w:w="700" w:type="dxa"/>
            <w:shd w:fill="#fddbc7"/>
          </w:tcPr>
          <w:p>
            <w:pPr>
              <w:jc w:val="center"/>
            </w:pPr>
            <w:r>
              <w:rPr>
                <w:rFonts w:ascii="Calibri" w:hAnsi="Calibri"/>
                <w:sz w:val="18"/>
              </w:rPr>
              <w:t>334.5K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8.1%</w:t>
            </w:r>
          </w:p>
        </w:tc>
        <w:tc>
          <w:tcPr>
            <w:tcW w:type="dxa" w:w="2880"/>
            <w:tcW w:w="700" w:type="dxa"/>
            <w:shd w:fill="#fee8c8"/>
          </w:tcPr>
          <w:p>
            <w:pPr>
              <w:jc w:val="center"/>
            </w:pPr>
            <w:r>
              <w:rPr>
                <w:rFonts w:ascii="Calibri" w:hAnsi="Calibri"/>
                <w:sz w:val="18"/>
              </w:rPr>
              <w:t>97.7K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8.1%</w:t>
            </w:r>
          </w:p>
        </w:tc>
        <w:tc>
          <w:tcPr>
            <w:tcW w:type="dxa" w:w="2880"/>
            <w:tcW w:w="700" w:type="dxa"/>
            <w:shd w:fill="#fff7ec"/>
          </w:tcPr>
          <w:p>
            <w:pPr>
              <w:jc w:val="center"/>
            </w:pPr>
            <w:r>
              <w:rPr>
                <w:rFonts w:ascii="Calibri" w:hAnsi="Calibri"/>
                <w:sz w:val="18"/>
              </w:rPr>
              <w:t>97.7K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56.3%</w:t>
            </w:r>
          </w:p>
        </w:tc>
        <w:tc>
          <w:tcPr>
            <w:tcW w:type="dxa" w:w="2880"/>
            <w:tcW w:w="700" w:type="dxa"/>
            <w:shd w:fill="#f4a582"/>
          </w:tcPr>
          <w:p>
            <w:pPr>
              <w:jc w:val="center"/>
            </w:pPr>
            <w:r>
              <w:rPr>
                <w:rFonts w:ascii="Calibri" w:hAnsi="Calibri"/>
                <w:sz w:val="18"/>
              </w:rPr>
              <w:t>683.1K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(462.5K):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ddbc7"/>
          </w:tcPr>
          <w:p>
            <w:pPr>
              <w:jc w:val="center"/>
            </w:pPr>
            <w:r>
              <w:rPr>
                <w:rFonts w:ascii="Calibri" w:hAnsi="Calibri"/>
                <w:sz w:val="18"/>
              </w:rPr>
              <w:t>29.8%</w:t>
            </w:r>
          </w:p>
        </w:tc>
        <w:tc>
          <w:tcPr>
            <w:tcW w:type="dxa" w:w="2880"/>
            <w:tcW w:w="700" w:type="dxa"/>
            <w:shd w:fill="#fddbc7"/>
          </w:tcPr>
          <w:p>
            <w:pPr>
              <w:jc w:val="center"/>
            </w:pPr>
            <w:r>
              <w:rPr>
                <w:rFonts w:ascii="Calibri" w:hAnsi="Calibri"/>
                <w:sz w:val="18"/>
              </w:rPr>
              <w:t>137.6K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8.4%</w:t>
            </w:r>
          </w:p>
        </w:tc>
        <w:tc>
          <w:tcPr>
            <w:tcW w:type="dxa" w:w="2880"/>
            <w:tcW w:w="700" w:type="dxa"/>
            <w:shd w:fill="#fee8c8"/>
          </w:tcPr>
          <w:p>
            <w:pPr>
              <w:jc w:val="center"/>
            </w:pPr>
            <w:r>
              <w:rPr>
                <w:rFonts w:ascii="Calibri" w:hAnsi="Calibri"/>
                <w:sz w:val="18"/>
              </w:rPr>
              <w:t>38.7K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4.4%</w:t>
            </w:r>
          </w:p>
        </w:tc>
        <w:tc>
          <w:tcPr>
            <w:tcW w:type="dxa" w:w="2880"/>
            <w:tcW w:w="700" w:type="dxa"/>
            <w:shd w:fill="#fff7ec"/>
          </w:tcPr>
          <w:p>
            <w:pPr>
              <w:jc w:val="center"/>
            </w:pPr>
            <w:r>
              <w:rPr>
                <w:rFonts w:ascii="Calibri" w:hAnsi="Calibri"/>
                <w:sz w:val="18"/>
              </w:rPr>
              <w:t>20.5K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57.4%</w:t>
            </w:r>
          </w:p>
        </w:tc>
        <w:tc>
          <w:tcPr>
            <w:tcW w:type="dxa" w:w="2880"/>
            <w:tcW w:w="700" w:type="dxa"/>
            <w:shd w:fill="#f4a582"/>
          </w:tcPr>
          <w:p>
            <w:pPr>
              <w:jc w:val="center"/>
            </w:pPr>
            <w:r>
              <w:rPr>
                <w:rFonts w:ascii="Calibri" w:hAnsi="Calibri"/>
                <w:sz w:val="18"/>
              </w:rPr>
              <w:t>265.6K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