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Somalia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Somalia</w:t>
      </w:r>
    </w:p>
    <w:p/>
    <w:p>
      <w:r>
        <w:rPr>
          <w:rFonts w:ascii="Calibri" w:hAnsi="Calibri"/>
          <w:b/>
          <w:color w:val="569697"/>
          <w:sz w:val="32"/>
        </w:rPr>
        <w:t>65.2% (i.e. 2.2M)</w:t>
      </w:r>
      <w:r>
        <w:rPr>
          <w:rFonts w:ascii="Calibri" w:hAnsi="Calibri"/>
          <w:sz w:val="32"/>
        </w:rPr>
        <w:t xml:space="preserve"> of school-aged children are in need. Among them:</w:t>
      </w:r>
    </w:p>
    <w:p>
      <w:pPr>
        <w:pStyle w:val="ListBullet"/>
        <w:ind w:left="1440"/>
      </w:pPr>
      <w:r>
        <w:rPr>
          <w:rFonts w:ascii="Calibri" w:hAnsi="Calibri"/>
          <w:sz w:val="32"/>
        </w:rPr>
        <w:t>1.1M are girls and 1.1M are boys;</w:t>
      </w:r>
    </w:p>
    <w:p>
      <w:pPr>
        <w:pStyle w:val="ListBullet"/>
        <w:ind w:left="1440"/>
      </w:pPr>
      <w:r>
        <w:rPr>
          <w:rFonts w:ascii="Calibri" w:hAnsi="Calibri"/>
          <w:sz w:val="32"/>
        </w:rPr>
        <w:t>179.6K are 5 years old (ECE);</w:t>
      </w:r>
    </w:p>
    <w:p>
      <w:pPr>
        <w:pStyle w:val="ListBullet"/>
        <w:ind w:left="1440"/>
      </w:pPr>
      <w:r>
        <w:rPr>
          <w:rFonts w:ascii="Calibri" w:hAnsi="Calibri"/>
          <w:sz w:val="32"/>
        </w:rPr>
        <w:t>2.0M are between 6 and 17 years old;</w:t>
      </w:r>
    </w:p>
    <w:p>
      <w:pPr>
        <w:pStyle w:val="ListBullet"/>
        <w:ind w:left="1440"/>
      </w:pPr>
      <w:r>
        <w:rPr>
          <w:rFonts w:ascii="Calibri" w:hAnsi="Calibri"/>
          <w:sz w:val="32"/>
        </w:rPr>
        <w:t>215.5K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HOST</w:t>
            </w:r>
          </w:p>
        </w:tc>
        <w:tc>
          <w:tcPr>
            <w:tcW w:type="dxa" w:w="4320"/>
            <w:tcW w:w="5000" w:type="dxa"/>
          </w:tcPr>
          <w:p>
            <w:pPr>
              <w:jc w:val="center"/>
            </w:pPr>
            <w:r>
              <w:rPr>
                <w:rFonts w:ascii="Calibri" w:hAnsi="Calibri"/>
                <w:sz w:val="24"/>
              </w:rPr>
              <w:t>1.5M</w:t>
            </w:r>
          </w:p>
        </w:tc>
      </w:tr>
      <w:tr>
        <w:trPr>
          <w:trHeight w:val="300" w:hRule="exact"/>
        </w:trPr>
        <w:tc>
          <w:tcPr>
            <w:tcW w:type="dxa" w:w="4320"/>
            <w:tcW w:w="1000" w:type="dxa"/>
          </w:tcPr>
          <w:p>
            <w:pPr>
              <w:jc w:val="center"/>
            </w:pPr>
            <w:r>
              <w:rPr>
                <w:rFonts w:ascii="Calibri" w:hAnsi="Calibri"/>
                <w:sz w:val="24"/>
              </w:rPr>
              <w:t>IDP</w:t>
            </w:r>
          </w:p>
        </w:tc>
        <w:tc>
          <w:tcPr>
            <w:tcW w:type="dxa" w:w="4320"/>
            <w:tcW w:w="5000" w:type="dxa"/>
          </w:tcPr>
          <w:p>
            <w:pPr>
              <w:jc w:val="center"/>
            </w:pPr>
            <w:r>
              <w:rPr>
                <w:rFonts w:ascii="Calibri" w:hAnsi="Calibri"/>
                <w:sz w:val="24"/>
              </w:rPr>
              <w:t>645.6K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2.2M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3.3M</w:t>
            </w:r>
          </w:p>
        </w:tc>
        <w:tc>
          <w:tcPr>
            <w:tcW w:type="dxa" w:w="960"/>
            <w:shd w:fill="#ebecc7"/>
            <w:vAlign w:val="center"/>
          </w:tcPr>
          <w:p>
            <w:pPr>
              <w:jc w:val="center"/>
            </w:pPr>
            <w:r>
              <w:t>34.8</w:t>
            </w:r>
          </w:p>
        </w:tc>
        <w:tc>
          <w:tcPr>
            <w:tcW w:type="dxa" w:w="960"/>
            <w:shd w:fill="#ebecc7"/>
            <w:vAlign w:val="center"/>
          </w:tcPr>
          <w:p>
            <w:pPr>
              <w:jc w:val="center"/>
            </w:pPr>
            <w:r>
              <w:t>1.2M</w:t>
            </w:r>
          </w:p>
        </w:tc>
        <w:tc>
          <w:tcPr>
            <w:tcW w:type="dxa" w:w="960"/>
            <w:shd w:fill="#c7d9ec"/>
            <w:vAlign w:val="center"/>
          </w:tcPr>
          <w:p>
            <w:pPr>
              <w:jc w:val="center"/>
            </w:pPr>
            <w:r>
              <w:t>57.8</w:t>
            </w:r>
          </w:p>
        </w:tc>
        <w:tc>
          <w:tcPr>
            <w:tcW w:type="dxa" w:w="960"/>
            <w:shd w:fill="#c7d9ec"/>
            <w:vAlign w:val="center"/>
          </w:tcPr>
          <w:p>
            <w:pPr>
              <w:jc w:val="center"/>
            </w:pPr>
            <w:r>
              <w:t>1.9M</w:t>
            </w:r>
          </w:p>
        </w:tc>
        <w:tc>
          <w:tcPr>
            <w:tcW w:type="dxa" w:w="960"/>
            <w:shd w:fill="#c7ecdb"/>
            <w:vAlign w:val="center"/>
          </w:tcPr>
          <w:p>
            <w:pPr>
              <w:jc w:val="center"/>
            </w:pPr>
            <w:r>
              <w:t>5.4</w:t>
            </w:r>
          </w:p>
        </w:tc>
        <w:tc>
          <w:tcPr>
            <w:tcW w:type="dxa" w:w="960"/>
            <w:shd w:fill="#c7ecdb"/>
            <w:vAlign w:val="center"/>
          </w:tcPr>
          <w:p>
            <w:pPr>
              <w:jc w:val="center"/>
            </w:pPr>
            <w:r>
              <w:t>178.8K</w:t>
            </w:r>
          </w:p>
        </w:tc>
        <w:tc>
          <w:tcPr>
            <w:tcW w:type="dxa" w:w="960"/>
            <w:shd w:fill="#b3d3d4"/>
            <w:vAlign w:val="center"/>
          </w:tcPr>
          <w:p>
            <w:pPr>
              <w:jc w:val="center"/>
            </w:pPr>
            <w:r>
              <w:t>2.0</w:t>
            </w:r>
          </w:p>
        </w:tc>
        <w:tc>
          <w:tcPr>
            <w:tcW w:type="dxa" w:w="960"/>
            <w:shd w:fill="#b3d3d4"/>
            <w:vAlign w:val="center"/>
          </w:tcPr>
          <w:p>
            <w:pPr>
              <w:jc w:val="center"/>
            </w:pPr>
            <w:r>
              <w:t>65.4K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2575958"/>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2575958"/>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(2.2M):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4a582"/>
          </w:tcPr>
          <w:p>
            <w:pPr>
              <w:jc w:val="center"/>
            </w:pPr>
            <w:r>
              <w:rPr>
                <w:rFonts w:ascii="Calibri" w:hAnsi="Calibri"/>
                <w:sz w:val="22"/>
              </w:rPr>
              <w:t>84.6%</w:t>
            </w:r>
          </w:p>
        </w:tc>
        <w:tc>
          <w:tcPr>
            <w:tcW w:type="dxa" w:w="2880"/>
            <w:tcW w:w="700" w:type="dxa"/>
            <w:shd w:fill="#f4a582"/>
          </w:tcPr>
          <w:p>
            <w:pPr>
              <w:jc w:val="center"/>
            </w:pPr>
            <w:r>
              <w:rPr>
                <w:rFonts w:ascii="Calibri" w:hAnsi="Calibri"/>
                <w:sz w:val="22"/>
              </w:rPr>
              <w:t>1.8M</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ee8c8"/>
          </w:tcPr>
          <w:p>
            <w:pPr>
              <w:jc w:val="center"/>
            </w:pPr>
            <w:r>
              <w:rPr>
                <w:rFonts w:ascii="Calibri" w:hAnsi="Calibri"/>
                <w:sz w:val="22"/>
              </w:rPr>
              <w:t>4.1%</w:t>
            </w:r>
          </w:p>
        </w:tc>
        <w:tc>
          <w:tcPr>
            <w:tcW w:type="dxa" w:w="2880"/>
            <w:tcW w:w="700" w:type="dxa"/>
            <w:shd w:fill="#fee8c8"/>
          </w:tcPr>
          <w:p>
            <w:pPr>
              <w:jc w:val="center"/>
            </w:pPr>
            <w:r>
              <w:rPr>
                <w:rFonts w:ascii="Calibri" w:hAnsi="Calibri"/>
                <w:sz w:val="22"/>
              </w:rPr>
              <w:t>88.0K</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ddbc7"/>
          </w:tcPr>
          <w:p>
            <w:pPr>
              <w:jc w:val="center"/>
            </w:pPr>
            <w:r>
              <w:rPr>
                <w:rFonts w:ascii="Calibri" w:hAnsi="Calibri"/>
                <w:sz w:val="22"/>
              </w:rPr>
              <w:t>7.7%</w:t>
            </w:r>
          </w:p>
        </w:tc>
        <w:tc>
          <w:tcPr>
            <w:tcW w:type="dxa" w:w="2880"/>
            <w:tcW w:w="700" w:type="dxa"/>
            <w:shd w:fill="#fddbc7"/>
          </w:tcPr>
          <w:p>
            <w:pPr>
              <w:jc w:val="center"/>
            </w:pPr>
            <w:r>
              <w:rPr>
                <w:rFonts w:ascii="Calibri" w:hAnsi="Calibri"/>
                <w:sz w:val="22"/>
              </w:rPr>
              <w:t>166.1K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ff7ec"/>
          </w:tcPr>
          <w:p>
            <w:pPr>
              <w:jc w:val="center"/>
            </w:pPr>
            <w:r>
              <w:rPr>
                <w:rFonts w:ascii="Calibri" w:hAnsi="Calibri"/>
                <w:sz w:val="22"/>
              </w:rPr>
              <w:t>3.6%</w:t>
            </w:r>
          </w:p>
        </w:tc>
        <w:tc>
          <w:tcPr>
            <w:tcW w:type="dxa" w:w="2880"/>
            <w:tcW w:w="700" w:type="dxa"/>
            <w:shd w:fill="#fff7ec"/>
          </w:tcPr>
          <w:p>
            <w:pPr>
              <w:jc w:val="center"/>
            </w:pPr>
            <w:r>
              <w:rPr>
                <w:rFonts w:ascii="Calibri" w:hAnsi="Calibri"/>
                <w:sz w:val="22"/>
              </w:rPr>
              <w:t>78.0K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HOST children in need (1.5M):</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85.2%</w:t>
            </w:r>
          </w:p>
        </w:tc>
        <w:tc>
          <w:tcPr>
            <w:tcW w:type="dxa" w:w="2880"/>
            <w:tcW w:w="700" w:type="dxa"/>
            <w:shd w:fill="#f4a582"/>
          </w:tcPr>
          <w:p>
            <w:pPr>
              <w:jc w:val="center"/>
            </w:pPr>
            <w:r>
              <w:rPr>
                <w:rFonts w:ascii="Calibri" w:hAnsi="Calibri"/>
                <w:sz w:val="18"/>
              </w:rPr>
              <w:t>1.3M</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4.8%</w:t>
            </w:r>
          </w:p>
        </w:tc>
        <w:tc>
          <w:tcPr>
            <w:tcW w:type="dxa" w:w="2880"/>
            <w:tcW w:w="700" w:type="dxa"/>
            <w:shd w:fill="#fee8c8"/>
          </w:tcPr>
          <w:p>
            <w:pPr>
              <w:jc w:val="center"/>
            </w:pPr>
            <w:r>
              <w:rPr>
                <w:rFonts w:ascii="Calibri" w:hAnsi="Calibri"/>
                <w:sz w:val="18"/>
              </w:rPr>
              <w:t>72.3K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ddbc7"/>
          </w:tcPr>
          <w:p>
            <w:pPr>
              <w:jc w:val="center"/>
            </w:pPr>
            <w:r>
              <w:rPr>
                <w:rFonts w:ascii="Calibri" w:hAnsi="Calibri"/>
                <w:sz w:val="18"/>
              </w:rPr>
              <w:t>6.3%</w:t>
            </w:r>
          </w:p>
        </w:tc>
        <w:tc>
          <w:tcPr>
            <w:tcW w:type="dxa" w:w="2880"/>
            <w:tcW w:w="700" w:type="dxa"/>
            <w:shd w:fill="#fddbc7"/>
          </w:tcPr>
          <w:p>
            <w:pPr>
              <w:jc w:val="center"/>
            </w:pPr>
            <w:r>
              <w:rPr>
                <w:rFonts w:ascii="Calibri" w:hAnsi="Calibri"/>
                <w:sz w:val="18"/>
              </w:rPr>
              <w:t>95.0K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ff7ec"/>
          </w:tcPr>
          <w:p>
            <w:pPr>
              <w:jc w:val="center"/>
            </w:pPr>
            <w:r>
              <w:rPr>
                <w:rFonts w:ascii="Calibri" w:hAnsi="Calibri"/>
                <w:sz w:val="18"/>
              </w:rPr>
              <w:t>3.7%</w:t>
            </w:r>
          </w:p>
        </w:tc>
        <w:tc>
          <w:tcPr>
            <w:tcW w:type="dxa" w:w="2880"/>
            <w:tcW w:w="700" w:type="dxa"/>
            <w:shd w:fill="#fff7ec"/>
          </w:tcPr>
          <w:p>
            <w:pPr>
              <w:jc w:val="center"/>
            </w:pPr>
            <w:r>
              <w:rPr>
                <w:rFonts w:ascii="Calibri" w:hAnsi="Calibri"/>
                <w:sz w:val="18"/>
              </w:rPr>
              <w:t>55.8K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 children in need (645.6K):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83.1%</w:t>
            </w:r>
          </w:p>
        </w:tc>
        <w:tc>
          <w:tcPr>
            <w:tcW w:type="dxa" w:w="2880"/>
            <w:tcW w:w="700" w:type="dxa"/>
            <w:shd w:fill="#f4a582"/>
          </w:tcPr>
          <w:p>
            <w:pPr>
              <w:jc w:val="center"/>
            </w:pPr>
            <w:r>
              <w:rPr>
                <w:rFonts w:ascii="Calibri" w:hAnsi="Calibri"/>
                <w:sz w:val="18"/>
              </w:rPr>
              <w:t>536.5K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ff7ec"/>
          </w:tcPr>
          <w:p>
            <w:pPr>
              <w:jc w:val="center"/>
            </w:pPr>
            <w:r>
              <w:rPr>
                <w:rFonts w:ascii="Calibri" w:hAnsi="Calibri"/>
                <w:sz w:val="18"/>
              </w:rPr>
              <w:t>2.4%</w:t>
            </w:r>
          </w:p>
        </w:tc>
        <w:tc>
          <w:tcPr>
            <w:tcW w:type="dxa" w:w="2880"/>
            <w:tcW w:w="700" w:type="dxa"/>
            <w:shd w:fill="#fff7ec"/>
          </w:tcPr>
          <w:p>
            <w:pPr>
              <w:jc w:val="center"/>
            </w:pPr>
            <w:r>
              <w:rPr>
                <w:rFonts w:ascii="Calibri" w:hAnsi="Calibri"/>
                <w:sz w:val="18"/>
              </w:rPr>
              <w:t>15.7K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ddbc7"/>
          </w:tcPr>
          <w:p>
            <w:pPr>
              <w:jc w:val="center"/>
            </w:pPr>
            <w:r>
              <w:rPr>
                <w:rFonts w:ascii="Calibri" w:hAnsi="Calibri"/>
                <w:sz w:val="18"/>
              </w:rPr>
              <w:t>11.0%</w:t>
            </w:r>
          </w:p>
        </w:tc>
        <w:tc>
          <w:tcPr>
            <w:tcW w:type="dxa" w:w="2880"/>
            <w:tcW w:w="700" w:type="dxa"/>
            <w:shd w:fill="#fddbc7"/>
          </w:tcPr>
          <w:p>
            <w:pPr>
              <w:jc w:val="center"/>
            </w:pPr>
            <w:r>
              <w:rPr>
                <w:rFonts w:ascii="Calibri" w:hAnsi="Calibri"/>
                <w:sz w:val="18"/>
              </w:rPr>
              <w:t>71.1K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ee8c8"/>
          </w:tcPr>
          <w:p>
            <w:pPr>
              <w:jc w:val="center"/>
            </w:pPr>
            <w:r>
              <w:rPr>
                <w:rFonts w:ascii="Calibri" w:hAnsi="Calibri"/>
                <w:sz w:val="18"/>
              </w:rPr>
              <w:t>3.4%</w:t>
            </w:r>
          </w:p>
        </w:tc>
        <w:tc>
          <w:tcPr>
            <w:tcW w:type="dxa" w:w="2880"/>
            <w:tcW w:w="700" w:type="dxa"/>
            <w:shd w:fill="#fee8c8"/>
          </w:tcPr>
          <w:p>
            <w:pPr>
              <w:jc w:val="center"/>
            </w:pPr>
            <w:r>
              <w:rPr>
                <w:rFonts w:ascii="Calibri" w:hAnsi="Calibri"/>
                <w:sz w:val="18"/>
              </w:rPr>
              <w:t>22.2K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42370"/>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423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