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Paramètres Utilisés comme Entrée pour le Calcul PiN</w:t>
      </w:r>
    </w:p>
    <w:p>
      <w:pPr>
        <w:pStyle w:val="Heading2"/>
      </w:pPr>
      <w:r>
        <w:t>Informations Générales</w:t>
      </w:r>
    </w:p>
    <w:p>
      <w:pPr>
        <w:pStyle w:val="ListBullet"/>
      </w:pPr>
      <w:r>
        <w:t>Pays: Central African Republic -- CAR</w:t>
      </w:r>
    </w:p>
    <w:p>
      <w:pPr>
        <w:pStyle w:val="ListBullet"/>
      </w:pPr>
      <w:r>
        <w:t>Date du calcul: 21/11/2025 11:06</w:t>
      </w:r>
    </w:p>
    <w:p>
      <w:pPr>
        <w:pStyle w:val="Heading2"/>
      </w:pPr>
      <w:r>
        <w:t>Indicateurs/Variables MSNA par Dimension</w:t>
      </w:r>
    </w:p>
    <w:p>
      <w:pPr>
        <w:pStyle w:val="ListBullet"/>
      </w:pPr>
      <w:r>
        <w:rPr>
          <w:b/>
        </w:rPr>
        <w:t>Accès: edu_access</w:t>
      </w:r>
    </w:p>
    <w:p>
      <w:pPr>
        <w:pStyle w:val="ListBullet"/>
      </w:pPr>
      <w:r>
        <w:rPr>
          <w:b/>
        </w:rPr>
        <w:t>Conditions d apprentissage:</w:t>
      </w:r>
    </w:p>
    <w:p>
      <w:pPr>
        <w:pStyle w:val="ListBullet2"/>
      </w:pPr>
      <w:r>
        <w:t xml:space="preserve">      Éducation perturbée en raison de l'absence des enseignants: edu_disrupted_teacher</w:t>
      </w:r>
    </w:p>
    <w:p>
      <w:pPr>
        <w:pStyle w:val="ListBullet2"/>
      </w:pPr>
      <w:r>
        <w:t xml:space="preserve">      Éducation perturbée en raison d'un aléa naturel: no_indicator</w:t>
      </w:r>
    </w:p>
    <w:p>
      <w:pPr>
        <w:pStyle w:val="ListBullet2"/>
      </w:pPr>
      <w:r>
        <w:t xml:space="preserve">      Indicateur supplémentaire (sévérité 3): no_indicator</w:t>
      </w:r>
    </w:p>
    <w:p>
      <w:pPr>
        <w:pStyle w:val="ListBullet2"/>
      </w:pPr>
      <w:r>
        <w:t xml:space="preserve">      Indicateur supplémentaire2 (sévérité 3): no_indicator</w:t>
      </w:r>
    </w:p>
    <w:p>
      <w:pPr>
        <w:pStyle w:val="ListBullet"/>
      </w:pPr>
      <w:r>
        <w:rPr>
          <w:b/>
        </w:rPr>
        <w:t>Environnement protégé:</w:t>
      </w:r>
    </w:p>
    <w:p>
      <w:pPr>
        <w:pStyle w:val="ListBullet2"/>
      </w:pPr>
      <w:r>
        <w:t xml:space="preserve">      Éducation perturbée en raison de l'utilisation de l'école comme abri pour les PDI: edu_disrupted_displaced</w:t>
      </w:r>
    </w:p>
    <w:p>
      <w:pPr>
        <w:pStyle w:val="ListBullet2"/>
      </w:pPr>
      <w:r>
        <w:t xml:space="preserve">      Éducation perturbée en raison de l'occupation de l'école par des groupes armés: edu_disrupted_attack</w:t>
      </w:r>
    </w:p>
    <w:p>
      <w:pPr>
        <w:pStyle w:val="ListBullet2"/>
      </w:pPr>
      <w:r>
        <w:t xml:space="preserve">      Éducation perturbée en raison d'un aléa naturel: no_indicator</w:t>
      </w:r>
    </w:p>
    <w:p>
      <w:pPr>
        <w:pStyle w:val="ListBullet2"/>
      </w:pPr>
      <w:r>
        <w:t xml:space="preserve">      Indicateur supplémentaire (sévérité 4): no_indicator</w:t>
      </w:r>
    </w:p>
    <w:p>
      <w:pPr>
        <w:pStyle w:val="ListBullet2"/>
      </w:pPr>
      <w:r>
        <w:t xml:space="preserve">      Indicateur supplémentaire2 (sévérité 4): no_indicator</w:t>
      </w:r>
    </w:p>
    <w:p>
      <w:pPr>
        <w:pStyle w:val="ListBullet"/>
      </w:pPr>
      <w:r>
        <w:rPr>
          <w:b/>
        </w:rPr>
        <w:t>Circonstances aggravantes: edu_barrier</w:t>
      </w:r>
    </w:p>
    <w:p>
      <w:pPr>
        <w:pStyle w:val="Heading2"/>
      </w:pPr>
      <w:r>
        <w:t>Classification de Sévérité Utilisée pour ce Calcul</w:t>
      </w:r>
    </w:p>
    <w:p>
      <w:pPr>
        <w:pStyle w:val="ListBullet"/>
      </w:pPr>
      <w:r>
        <w:rPr>
          <w:b/>
          <w:color w:val="FFA500"/>
        </w:rPr>
        <w:t xml:space="preserve">Niveau de sévérité 3: </w:t>
      </w:r>
      <w:r>
        <w:t xml:space="preserve">Enfants hors école qui ne subissent PAS de circonstances aggravantes ou enfants scolarisés dont l'éducation a été perturbée en raison de : </w:t>
      </w:r>
      <w:r>
        <w:rPr>
          <w:b/>
        </w:rPr>
        <w:t>edu_disrupted_teacher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Niveau de sévérité 4: </w:t>
      </w:r>
      <w:r>
        <w:t xml:space="preserve">Enfants scolarisés dont l'éducation a été perturbée en raison de (indicateur scolarisé) ou enfants hors école confrontés aux circonstances aggravantes suivantes. </w:t>
      </w:r>
      <w:r>
        <w:rPr>
          <w:b/>
        </w:rPr>
        <w:t>edu_disrupted_displaced</w:t>
      </w:r>
      <w:r>
        <w:t>.</w:t>
      </w:r>
    </w:p>
    <w:p>
      <w:pPr>
        <w:pStyle w:val="ListBullet2"/>
      </w:pPr>
      <w:r>
        <w:t xml:space="preserve">      L'école a été fermée en raison de dommages, d'une catastrophe naturelle ou d'un conflit.</w:t>
      </w:r>
    </w:p>
    <w:p>
      <w:pPr>
        <w:pStyle w:val="ListBullet2"/>
      </w:pPr>
      <w:r>
        <w:t xml:space="preserve">      L'enfant doit travailler à la maison ou dans la ferme du ménage (c'est-à-dire qu'il ne gagne pas de revenu pour ces activités, mais peut permettre à d'autres membres de la famille de gagner un revenu)</w:t>
      </w:r>
    </w:p>
    <w:p>
      <w:pPr>
        <w:pStyle w:val="ListBullet2"/>
      </w:pPr>
      <w:r>
        <w:t xml:space="preserve">      L'enfant participe à des activités génératrices de revenus en dehors du foyer</w:t>
      </w:r>
    </w:p>
    <w:p>
      <w:pPr>
        <w:pStyle w:val="ListBullet2"/>
      </w:pPr>
      <w:r>
        <w:t xml:space="preserve">      Risques de protection à l'école </w:t>
      </w:r>
    </w:p>
    <w:p>
      <w:pPr>
        <w:pStyle w:val="ListBullet2"/>
      </w:pPr>
      <w:r>
        <w:t xml:space="preserve">      Risques de protection pendant le trajet vers l'école </w:t>
      </w:r>
    </w:p>
    <w:p>
      <w:pPr>
        <w:pStyle w:val="ListBullet2"/>
      </w:pPr>
      <w:r>
        <w:t xml:space="preserve">      Mariage ou fiançailles</w:t>
      </w:r>
    </w:p>
    <w:p>
      <w:pPr>
        <w:pStyle w:val="ListBullet"/>
      </w:pPr>
      <w:r>
        <w:rPr>
          <w:b/>
          <w:color w:val="FF4500"/>
        </w:rPr>
        <w:t xml:space="preserve">Niveau de sévérité 5: </w:t>
      </w:r>
      <w:r>
        <w:t xml:space="preserve">Enfants scolarisés dont l'éducation a été perturbée en raison de (indicateur scolarisé) ou enfants hors école confrontés aux circonstances aggravantes suivantes. </w:t>
      </w:r>
      <w:r>
        <w:rPr>
          <w:b/>
        </w:rPr>
        <w:t>edu_disrupted_attack</w:t>
      </w:r>
      <w:r>
        <w:t>.</w:t>
      </w:r>
    </w:p>
    <w:p>
      <w:pPr>
        <w:pStyle w:val="ListBullet2"/>
      </w:pPr>
      <w:r>
        <w:t xml:space="preserve">      L'enfant est associé à des forces armées ou à des groupes armés </w:t>
      </w:r>
    </w:p>
    <w:p>
      <w:pPr>
        <w:pStyle w:val="ListBullet2"/>
      </w:pPr>
      <w:r>
        <w:t xml:space="preserve">      Grossesse</w:t>
      </w:r>
    </w:p>
    <w:p>
      <w:pPr>
        <w:pStyle w:val="Heading2"/>
      </w:pPr>
      <w:r>
        <w:t>Unité Administrative</w:t>
      </w:r>
    </w:p>
    <w:p>
      <w:pPr>
        <w:pStyle w:val="ListBullet"/>
      </w:pPr>
      <w:r>
        <w:t>Unité d analyse: Admin_2: Sub-prefectures (sous-préfectures)</w:t>
      </w:r>
    </w:p>
    <w:p>
      <w:pPr>
        <w:pStyle w:val="ListBullet"/>
      </w:pPr>
      <w:r>
        <w:t>Décalage admin: False</w:t>
      </w:r>
    </w:p>
    <w:p>
      <w:pPr>
        <w:pStyle w:val="Heading2"/>
      </w:pPr>
      <w:r>
        <w:t>Cycles Scolaires</w:t>
      </w:r>
    </w:p>
    <w:p>
      <w:pPr>
        <w:pStyle w:val="ListBullet"/>
      </w:pPr>
      <w:r>
        <w:t>Tranches d'âge: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