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Democratic Republic of the Congo -- DRC</w:t>
      </w:r>
    </w:p>
    <w:p>
      <w:pPr>
        <w:pStyle w:val="ListBullet"/>
      </w:pPr>
      <w:r>
        <w:t>Date calculation: 18/09/2025 16:16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no_indicator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L'enfant est associé à des forces armées ou à des groupes armés</w:t>
      </w:r>
    </w:p>
    <w:p>
      <w:pPr>
        <w:pStyle w:val="ListBullet2"/>
      </w:pPr>
      <w:r>
        <w:t xml:space="preserve">      Mariage ou fiançailles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Grossesse</w:t>
      </w:r>
    </w:p>
    <w:p>
      <w:pPr>
        <w:pStyle w:val="ListBullet2"/>
      </w:pPr>
      <w:r>
        <w:t xml:space="preserve">      L'école a été fermée en raison d'un conflit.</w:t>
      </w:r>
    </w:p>
    <w:p>
      <w:pPr>
        <w:pStyle w:val="ListBullet2"/>
      </w:pPr>
      <w:r>
        <w:t xml:space="preserve">      L'école a été fermée pour une autre raison (hors dommages, d'une catastrophe naturelle et d'un conflit)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Admin_3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