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Central African Republic -- CAR</w:t>
      </w:r>
    </w:p>
    <w:p>
      <w:pPr>
        <w:pStyle w:val="ListBullet"/>
      </w:pPr>
      <w:r>
        <w:t>Date calculation: 08/10/2025 15:06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ListBullet"/>
      </w:pPr>
      <w:r>
        <w:rPr>
          <w:b/>
        </w:rPr>
        <w:t>Learning condition:</w:t>
      </w:r>
    </w:p>
    <w:p>
      <w:pPr>
        <w:pStyle w:val="ListBullet2"/>
      </w:pPr>
      <w:r>
        <w:t xml:space="preserve">      Education disrupted due to teacher absences: edu_disrupted_teacher</w:t>
      </w:r>
    </w:p>
    <w:p>
      <w:pPr>
        <w:pStyle w:val="ListBullet2"/>
      </w:pPr>
      <w:r>
        <w:t xml:space="preserve">      Education disrupted due to natural hazard: no_indicator</w:t>
      </w:r>
    </w:p>
    <w:p>
      <w:pPr>
        <w:pStyle w:val="ListBullet"/>
      </w:pPr>
      <w:r>
        <w:rPr>
          <w:b/>
        </w:rPr>
        <w:t>Protected environment:</w:t>
      </w:r>
    </w:p>
    <w:p>
      <w:pPr>
        <w:pStyle w:val="ListBullet2"/>
      </w:pPr>
      <w:r>
        <w:t xml:space="preserve">      Education disrupted due to school being used as IDP shelter: edu_disrupted_displaced</w:t>
      </w:r>
    </w:p>
    <w:p>
      <w:pPr>
        <w:pStyle w:val="ListBullet2"/>
      </w:pPr>
      <w:r>
        <w:t xml:space="preserve">      Education disrupted due to school being occupied by armed groups: no_indicator</w:t>
      </w:r>
    </w:p>
    <w:p>
      <w:pPr>
        <w:pStyle w:val="ListBullet"/>
      </w:pPr>
      <w:r>
        <w:rPr>
          <w:b/>
        </w:rPr>
        <w:t>Aggravating circumstances: edu_barrier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 xml:space="preserve"> and </w:t>
      </w:r>
      <w:r>
        <w:rPr>
          <w:b/>
        </w:rPr>
        <w:t>no_indicator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disrupted due to </w:t>
      </w:r>
      <w:r>
        <w:rPr>
          <w:b/>
        </w:rPr>
        <w:t>edu_disrupted_displaced</w:t>
      </w:r>
      <w:r>
        <w:t xml:space="preserve"> or OoS facing the following aggravating circumstances.</w:t>
      </w:r>
    </w:p>
    <w:p>
      <w:pPr>
        <w:pStyle w:val="ListBullet2"/>
      </w:pPr>
      <w:r>
        <w:t xml:space="preserve">      Le programme scolaire et/ou les certificats délivrés par l'école ne sont pas perçus comme utiles pour le ménage.  </w:t>
      </w:r>
    </w:p>
    <w:p>
      <w:pPr>
        <w:pStyle w:val="ListBullet2"/>
      </w:pPr>
      <w:r>
        <w:t xml:space="preserve">      Impossibilité de payer les coûts directs de l'éducation (par exemple, les frais de scolarité, les fournitures, le transport)</w:t>
      </w:r>
    </w:p>
    <w:p>
      <w:pPr>
        <w:pStyle w:val="ListBullet2"/>
      </w:pPr>
      <w:r>
        <w:t xml:space="preserve">      L'enfant doit travailler à la maison ou dans la ferme du ménage (c'est-à-dire qu'il ne gagne pas de revenu pour ces activités, mais peut permettre à d'autres membres de la famille de gagner un revenu)</w:t>
      </w:r>
    </w:p>
    <w:p>
      <w:pPr>
        <w:pStyle w:val="ListBullet2"/>
      </w:pPr>
      <w:r>
        <w:t xml:space="preserve">      L'enfant participe à des activités génératrices de revenus en dehors du foyer</w:t>
      </w:r>
    </w:p>
    <w:p>
      <w:pPr>
        <w:pStyle w:val="ListBullet2"/>
      </w:pPr>
      <w:r>
        <w:t xml:space="preserve">      Manque d'enseignants ou qualité médiocre des enseignants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disrupted due to </w:t>
      </w:r>
      <w:r>
        <w:rPr>
          <w:b/>
        </w:rPr>
        <w:t>no_indicator</w:t>
      </w:r>
      <w:r>
        <w:t xml:space="preserve"> or OoS facing the following aggravating circumstances.</w:t>
      </w:r>
    </w:p>
    <w:p>
      <w:pPr>
        <w:pStyle w:val="ListBullet2"/>
      </w:pPr>
      <w:r>
        <w:t xml:space="preserve">      L'éducation n'est pas une priorité pour l'enfant ou le ménage</w:t>
      </w:r>
    </w:p>
    <w:p>
      <w:pPr>
        <w:pStyle w:val="ListBullet2"/>
      </w:pPr>
      <w:r>
        <w:t xml:space="preserve">      L'enfant est associé à des forces armées ou à des groupes armés </w:t>
      </w:r>
    </w:p>
    <w:p>
      <w:pPr>
        <w:pStyle w:val="ListBullet2"/>
      </w:pPr>
      <w:r>
        <w:t xml:space="preserve">      Mariage ou fiançailles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Sub-prefectures (sous-préfectures)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