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81 %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5.26% of the studies for which we could obtain the original effect size (5 out of 95) , were all re-analysis effect sizes inside the tolerance region (+/- 0.05 Cohen’s d) of the result of the original study (Fig. 2a). Out of the 396 available re-analysis effect sizes, 33.84 %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23.16% of the studies were all corresponding re-analysis result inside the tolerance region. Further, out of the available 396 reanalysis effect sizes 56.57% (224)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-3%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0.73 (Median = 0.43), whereas for the re-analysis it is 0.49 (Median = 0.35) Cohen’s d computed on Cohen’s ds =&lt; 5. This result is consistent with the possibility that original analysts proactively sought larger effects than re-analysts, that re-analysts proactively sought smaller effects than original analysts, or both.</w:t>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31"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 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drawing>
          <wp:inline>
            <wp:extent cx="5334000" cy="3394363"/>
            <wp:effectExtent b="0" l="0" r="0" t="0"/>
            <wp:docPr descr="" title="" id="29" name="Picture"/>
            <a:graphic>
              <a:graphicData uri="http://schemas.openxmlformats.org/drawingml/2006/picture">
                <pic:pic>
                  <pic:nvPicPr>
                    <pic:cNvPr descr="multi100_results_files/figure-docx/generating%20inferential_panel-1.png" id="3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17.07%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31"/>
    <w:bookmarkStart w:id="32"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32"/>
    <w:bookmarkStart w:id="33"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3"/>
    <w:bookmarkStart w:id="34"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4"/>
    <w:bookmarkStart w:id="35"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5"/>
    <w:bookmarkStart w:id="36"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6"/>
    <w:bookmarkStart w:id="37"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7"/>
    <w:bookmarkStart w:id="49" w:name="methods"/>
    <w:p>
      <w:pPr>
        <w:pStyle w:val="Heading1"/>
      </w:pPr>
      <w:r>
        <w:t xml:space="preserve">Methods</w:t>
      </w:r>
    </w:p>
    <w:bookmarkStart w:id="38"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8"/>
    <w:bookmarkStart w:id="39"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9"/>
    <w:bookmarkStart w:id="40" w:name="materials"/>
    <w:p>
      <w:pPr>
        <w:pStyle w:val="Heading2"/>
      </w:pPr>
      <w:r>
        <w:t xml:space="preserve">Materials</w:t>
      </w:r>
    </w:p>
    <w:bookmarkEnd w:id="40"/>
    <w:bookmarkStart w:id="41"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41"/>
    <w:bookmarkStart w:id="42"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42"/>
    <w:bookmarkStart w:id="43"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3"/>
    <w:bookmarkStart w:id="44" w:name="procedures"/>
    <w:p>
      <w:pPr>
        <w:pStyle w:val="Heading2"/>
      </w:pPr>
      <w:r>
        <w:t xml:space="preserve">Procedures</w:t>
      </w:r>
    </w:p>
    <w:bookmarkEnd w:id="44"/>
    <w:bookmarkStart w:id="45"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5"/>
    <w:bookmarkStart w:id="46"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6"/>
    <w:bookmarkStart w:id="47"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7"/>
    <w:bookmarkStart w:id="48" w:name="Xa885cf4f715bd9fffc83d585eece508307332f4"/>
    <w:p>
      <w:pPr>
        <w:pStyle w:val="Heading2"/>
      </w:pPr>
      <w:r>
        <w:t xml:space="preserve">Assignment of analyses to peer evaluators</w:t>
      </w:r>
    </w:p>
    <w:bookmarkEnd w:id="48"/>
    <w:bookmarkEnd w:id="49"/>
    <w:bookmarkStart w:id="56" w:name="X33a62f21c6463b620627c816f560455e9af116e"/>
    <w:p>
      <w:pPr>
        <w:pStyle w:val="Heading1"/>
      </w:pPr>
      <w:r>
        <w:t xml:space="preserve">HERE but seven cases (i.e., 98.6% of peer evaluations were carried out on a dataset that was different to the dataset they analysed themselves)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Start w:id="50"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50"/>
    <w:bookmarkStart w:id="51"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51"/>
    <w:bookmarkStart w:id="52"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52"/>
    <w:bookmarkStart w:id="53"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53"/>
    <w:bookmarkStart w:id="54"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4"/>
    <w:bookmarkStart w:id="55"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5"/>
    <w:bookmarkEnd w:id="56"/>
    <w:bookmarkStart w:id="57" w:name="references"/>
    <w:p>
      <w:pPr>
        <w:pStyle w:val="Heading1"/>
      </w:pPr>
      <w:r>
        <w:t xml:space="preserve">References</w:t>
      </w:r>
    </w:p>
    <w:bookmarkEnd w:id="57"/>
    <w:bookmarkStart w:id="58"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34 % of the independent re-analyses yielded the same result (within a tolerance region of +/- 0.05 Cohen’s d) as the original report. Even with a four times broader tolerance region, this indicator did not go above 57 %.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2025-06-13T19:24:14Z</dcterms:created>
  <dcterms:modified xsi:type="dcterms:W3CDTF">2025-06-13T19:24:14Z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